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33B25BA5" w:rsidR="00A27590" w:rsidRPr="00004819" w:rsidRDefault="00855C84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5C84">
              <w:rPr>
                <w:rFonts w:asciiTheme="minorHAnsi" w:hAnsiTheme="minorHAnsi" w:cstheme="minorHAnsi"/>
                <w:b/>
                <w:bCs/>
                <w:szCs w:val="22"/>
              </w:rPr>
              <w:t xml:space="preserve">LFP – </w:t>
            </w:r>
            <w:bookmarkStart w:id="0" w:name="_Hlk198641078"/>
            <w:r w:rsidRPr="00855C84">
              <w:rPr>
                <w:rFonts w:asciiTheme="minorHAnsi" w:hAnsiTheme="minorHAnsi" w:cstheme="minorHAnsi"/>
                <w:b/>
                <w:bCs/>
                <w:szCs w:val="22"/>
              </w:rPr>
              <w:t>Dodávka instrumentačních a resuscitačních vozíků</w:t>
            </w:r>
            <w:bookmarkEnd w:id="0"/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 xml:space="preserve"> ust.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3EF72464" w14:textId="4861A8C5" w:rsidR="00174102" w:rsidRDefault="00174102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4EF8262" w14:textId="77777777" w:rsidR="00174102" w:rsidRPr="00174102" w:rsidRDefault="00174102" w:rsidP="00174102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369BF3F" w14:textId="7394A4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5ADA9EF7" w14:textId="77DB643F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101143B9" w14:textId="36C00B8B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015FC975" w14:textId="03FAC63C" w:rsidR="00174102" w:rsidRPr="00174102" w:rsidRDefault="00174102" w:rsidP="00174102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 w:rsidR="00C84D59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73A594C4" w:rsidR="00BC6AFD" w:rsidRPr="00174102" w:rsidRDefault="00174102" w:rsidP="00174102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7957A4CF" w14:textId="218FF67C" w:rsidR="00BC6AFD" w:rsidRPr="00A27590" w:rsidRDefault="00BC6AFD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lastRenderedPageBreak/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4C619D">
          <w:headerReference w:type="default" r:id="rId8"/>
          <w:footerReference w:type="default" r:id="rId9"/>
          <w:pgSz w:w="11906" w:h="16838"/>
          <w:pgMar w:top="2410" w:right="1416" w:bottom="993" w:left="1418" w:header="567" w:footer="29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8DA88A2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9F64" w14:textId="77777777" w:rsidR="004C619D" w:rsidRPr="004C619D" w:rsidRDefault="00DA0021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0C981657FC6C484EA00ED2D6AFDC691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2B8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C3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B5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A69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34228F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6AD359CD" w14:textId="3967C6C1" w:rsidR="00583AC0" w:rsidRPr="00583AC0" w:rsidRDefault="00583AC0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83AC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83AC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D69B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583AC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A5D7" w14:textId="261F818F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5EB" w14:textId="77777777" w:rsidR="00174102" w:rsidRDefault="00174102" w:rsidP="00174102">
    <w:pPr>
      <w:pStyle w:val="Zhlav"/>
    </w:pPr>
    <w:r>
      <w:tab/>
    </w: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72EB437A" wp14:editId="468889DE">
          <wp:extent cx="5760720" cy="866775"/>
          <wp:effectExtent l="0" t="0" r="0" b="9525"/>
          <wp:docPr id="606459184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3BF7BA1B" w:rsidR="0034228F" w:rsidRPr="000C1E81" w:rsidRDefault="004C619D" w:rsidP="004C619D">
    <w:pPr>
      <w:pStyle w:val="Zhlav"/>
      <w:jc w:val="center"/>
    </w:pPr>
    <w:r>
      <w:rPr>
        <w:rFonts w:ascii="Roboto" w:hAnsi="Roboto"/>
        <w:noProof/>
        <w:color w:val="000000"/>
        <w:sz w:val="23"/>
        <w:szCs w:val="23"/>
        <w:shd w:val="clear" w:color="auto" w:fill="FFFFFF"/>
      </w:rPr>
      <w:drawing>
        <wp:inline distT="0" distB="0" distL="0" distR="0" wp14:anchorId="0F63A59E" wp14:editId="7CD54642">
          <wp:extent cx="5760720" cy="866775"/>
          <wp:effectExtent l="0" t="0" r="0" b="9525"/>
          <wp:docPr id="52858720" name="Obrázek 1" descr="Obsah obrázku text, Písmo, snímek obrazovky&#10;&#10;Popis byl vytvořen automatick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725628" name="Obrázek 1" descr="Obsah obrázku text, Písmo, snímek obrazovky&#10;&#10;Popis byl vytvořen automatick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b2jy4myqBLQkDF+Uv06WGFlbQ84n0ssMeN7ZD5moQBP+6Q7xTEorCGsAusDDidU7R48wIFvSyR1mWtRam68z3g==" w:salt="7hocnkjkv1teKjbQwgr61A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5AD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14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2A45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5C84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40D8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884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2DE1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0021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mzd.gov.cz/wp-content/uploads/2024/09/mzd_npo_loga.jp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C981657FC6C484EA00ED2D6AFDC6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810EE-CF52-4BBD-9172-CD2A7BF0584A}"/>
      </w:docPartPr>
      <w:docPartBody>
        <w:p w:rsidR="009A0B79" w:rsidRDefault="009A0B79" w:rsidP="009A0B79">
          <w:pPr>
            <w:pStyle w:val="0C981657FC6C484EA00ED2D6AFDC691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E7420"/>
    <w:rsid w:val="00145114"/>
    <w:rsid w:val="002F573A"/>
    <w:rsid w:val="00495E23"/>
    <w:rsid w:val="009A0B79"/>
    <w:rsid w:val="00A640D8"/>
    <w:rsid w:val="00B93C28"/>
    <w:rsid w:val="00BF748F"/>
    <w:rsid w:val="00D561D4"/>
    <w:rsid w:val="00E4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0B79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981657FC6C484EA00ED2D6AFDC691D">
    <w:name w:val="0C981657FC6C484EA00ED2D6AFDC691D"/>
    <w:rsid w:val="009A0B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3648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Škrabal Ondřej</cp:lastModifiedBy>
  <cp:revision>3</cp:revision>
  <cp:lastPrinted>2017-08-04T07:10:00Z</cp:lastPrinted>
  <dcterms:created xsi:type="dcterms:W3CDTF">2025-06-09T07:40:00Z</dcterms:created>
  <dcterms:modified xsi:type="dcterms:W3CDTF">2025-06-09T07:41:00Z</dcterms:modified>
</cp:coreProperties>
</file>