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64DF303D" w:rsidR="00A27590" w:rsidRPr="00004819" w:rsidRDefault="00FC6609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C6609">
              <w:rPr>
                <w:rFonts w:asciiTheme="minorHAnsi" w:hAnsiTheme="minorHAnsi" w:cstheme="minorHAnsi"/>
                <w:b/>
                <w:bCs/>
                <w:szCs w:val="22"/>
              </w:rPr>
              <w:t xml:space="preserve">LFP – Figurína pro nácvik neodkladné </w:t>
            </w:r>
            <w:proofErr w:type="gramStart"/>
            <w:r w:rsidRPr="00FC6609">
              <w:rPr>
                <w:rFonts w:asciiTheme="minorHAnsi" w:hAnsiTheme="minorHAnsi" w:cstheme="minorHAnsi"/>
                <w:b/>
                <w:bCs/>
                <w:szCs w:val="22"/>
              </w:rPr>
              <w:t>resuscitace</w:t>
            </w:r>
            <w:r w:rsidR="00044667">
              <w:rPr>
                <w:rFonts w:asciiTheme="minorHAnsi" w:hAnsiTheme="minorHAnsi" w:cstheme="minorHAnsi"/>
                <w:b/>
                <w:bCs/>
                <w:szCs w:val="22"/>
              </w:rPr>
              <w:t xml:space="preserve"> - opakování</w:t>
            </w:r>
            <w:proofErr w:type="gramEnd"/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3EF72464" w14:textId="4861A8C5" w:rsidR="00174102" w:rsidRDefault="00174102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4EF8262" w14:textId="77777777" w:rsidR="00174102" w:rsidRPr="00174102" w:rsidRDefault="00174102" w:rsidP="00174102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369BF3F" w14:textId="7394A4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5ADA9EF7" w14:textId="77DB643F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101143B9" w14:textId="36C00B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015FC975" w14:textId="03FAC63C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 w:rsidR="00C84D59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73A594C4" w:rsidR="00BC6AFD" w:rsidRPr="00174102" w:rsidRDefault="00174102" w:rsidP="00174102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7957A4CF" w14:textId="218FF67C" w:rsidR="00BC6AFD" w:rsidRPr="00A27590" w:rsidRDefault="00BC6AFD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lastRenderedPageBreak/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4C619D">
          <w:headerReference w:type="default" r:id="rId8"/>
          <w:footerReference w:type="default" r:id="rId9"/>
          <w:pgSz w:w="11906" w:h="16838"/>
          <w:pgMar w:top="2410" w:right="1416" w:bottom="993" w:left="1418" w:header="567" w:footer="29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8DA88A2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F64" w14:textId="77777777" w:rsidR="004C619D" w:rsidRPr="004C619D" w:rsidRDefault="00F00F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0C981657FC6C484EA00ED2D6AFDC691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2B8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3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B5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9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34228F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6AD359CD" w14:textId="3967C6C1" w:rsidR="00583AC0" w:rsidRPr="00583AC0" w:rsidRDefault="00583AC0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83A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83A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69B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D7" w14:textId="261F818F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5EB" w14:textId="77777777" w:rsidR="00174102" w:rsidRDefault="00174102" w:rsidP="0017410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72EB437A" wp14:editId="468889DE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3BF7BA1B" w:rsidR="0034228F" w:rsidRPr="000C1E81" w:rsidRDefault="004C619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F63A59E" wp14:editId="7CD54642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Ugtl5g6P7M/uvcBxvMoucdNNnxB2xBxdfLZa3WOaCAKUpwNHxbBxgsAQHoUocigvrox6jZ1V0rxRLt2ZOUHnA==" w:salt="4qvDaNz6Ym1Wu2Vc+qoiaQ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667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102"/>
    <w:rsid w:val="001742E3"/>
    <w:rsid w:val="001801F5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5D49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421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5C84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40D8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2DE1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551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0F21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C6609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C981657FC6C484EA00ED2D6AFDC6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10EE-CF52-4BBD-9172-CD2A7BF0584A}"/>
      </w:docPartPr>
      <w:docPartBody>
        <w:p w:rsidR="009A0B79" w:rsidRDefault="009A0B79" w:rsidP="009A0B79">
          <w:pPr>
            <w:pStyle w:val="0C981657FC6C484EA00ED2D6AFDC691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E7420"/>
    <w:rsid w:val="001801F5"/>
    <w:rsid w:val="002F573A"/>
    <w:rsid w:val="00495E23"/>
    <w:rsid w:val="00555D49"/>
    <w:rsid w:val="006C0421"/>
    <w:rsid w:val="009A0B79"/>
    <w:rsid w:val="00A640D8"/>
    <w:rsid w:val="00B93C28"/>
    <w:rsid w:val="00BF748F"/>
    <w:rsid w:val="00D561D4"/>
    <w:rsid w:val="00E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B79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81657FC6C484EA00ED2D6AFDC691D">
    <w:name w:val="0C981657FC6C484EA00ED2D6AFDC691D"/>
    <w:rsid w:val="009A0B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619</Words>
  <Characters>3653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Škrabal Ondřej</cp:lastModifiedBy>
  <cp:revision>19</cp:revision>
  <cp:lastPrinted>2017-08-04T07:10:00Z</cp:lastPrinted>
  <dcterms:created xsi:type="dcterms:W3CDTF">2023-07-26T07:34:00Z</dcterms:created>
  <dcterms:modified xsi:type="dcterms:W3CDTF">2025-07-09T11:58:00Z</dcterms:modified>
</cp:coreProperties>
</file>