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sidRPr="0042293B">
        <w:rPr>
          <w:rFonts w:ascii="Calibri" w:eastAsia="Calibri" w:hAnsi="Calibri" w:cs="Calibri"/>
          <w:b/>
          <w:sz w:val="28"/>
          <w:szCs w:val="28"/>
          <w:highlight w:val="cyan"/>
        </w:rPr>
        <w:t>–</w:t>
      </w:r>
      <w:r w:rsidRPr="0042293B">
        <w:rPr>
          <w:rFonts w:ascii="Calibri" w:eastAsia="Calibri" w:hAnsi="Calibri" w:cs="Calibri"/>
          <w:b/>
          <w:sz w:val="28"/>
          <w:szCs w:val="28"/>
          <w:highlight w:val="cyan"/>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37C04A3"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sidRPr="00F765D5">
        <w:rPr>
          <w:rFonts w:ascii="Calibri" w:eastAsia="Calibri" w:hAnsi="Calibri" w:cs="Calibri"/>
          <w:smallCaps/>
          <w:sz w:val="22"/>
          <w:szCs w:val="22"/>
        </w:rPr>
        <w:t>„</w:t>
      </w:r>
      <w:r w:rsidR="003139E0" w:rsidRPr="003139E0">
        <w:rPr>
          <w:rFonts w:ascii="Calibri" w:eastAsia="Calibri" w:hAnsi="Calibri" w:cs="Calibri"/>
          <w:b/>
          <w:sz w:val="22"/>
          <w:szCs w:val="22"/>
        </w:rPr>
        <w:t>Datový server dle specifikace</w:t>
      </w:r>
      <w:r w:rsidRPr="00F765D5">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5B2E3973"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w:t>
      </w:r>
      <w:r w:rsidRPr="00FF6DD5">
        <w:rPr>
          <w:rFonts w:ascii="Calibri" w:eastAsia="Calibri" w:hAnsi="Calibri" w:cs="Calibri"/>
          <w:b w:val="0"/>
          <w:bCs w:val="0"/>
          <w:color w:val="000000"/>
          <w:sz w:val="22"/>
          <w:szCs w:val="22"/>
        </w:rPr>
        <w:t xml:space="preserve">nejpozději do </w:t>
      </w:r>
      <w:r w:rsidR="00373595" w:rsidRPr="00FF6DD5">
        <w:rPr>
          <w:rFonts w:ascii="Calibri" w:eastAsia="Calibri" w:hAnsi="Calibri" w:cs="Calibri"/>
          <w:b w:val="0"/>
          <w:bCs w:val="0"/>
          <w:color w:val="000000"/>
          <w:sz w:val="22"/>
          <w:szCs w:val="22"/>
        </w:rPr>
        <w:t>1</w:t>
      </w:r>
      <w:r w:rsidR="00FF6DD5" w:rsidRPr="00FF6DD5">
        <w:rPr>
          <w:rFonts w:ascii="Calibri" w:eastAsia="Calibri" w:hAnsi="Calibri" w:cs="Calibri"/>
          <w:b w:val="0"/>
          <w:bCs w:val="0"/>
          <w:color w:val="000000"/>
          <w:sz w:val="22"/>
          <w:szCs w:val="22"/>
        </w:rPr>
        <w:t>5.12.2025</w:t>
      </w:r>
      <w:r w:rsidR="00A41C3A" w:rsidRPr="00FF6DD5">
        <w:rPr>
          <w:rFonts w:ascii="Calibri" w:eastAsia="Calibri" w:hAnsi="Calibri" w:cs="Calibri"/>
          <w:b w:val="0"/>
          <w:bCs w:val="0"/>
          <w:color w:val="000000"/>
          <w:sz w:val="22"/>
          <w:szCs w:val="22"/>
        </w:rPr>
        <w:t xml:space="preserve"> </w:t>
      </w:r>
      <w:r w:rsidRPr="00FF6DD5">
        <w:rPr>
          <w:rFonts w:ascii="Calibri" w:eastAsia="Calibri" w:hAnsi="Calibri" w:cs="Calibri"/>
          <w:b w:val="0"/>
          <w:bCs w:val="0"/>
          <w:color w:val="000000"/>
          <w:sz w:val="22"/>
          <w:szCs w:val="22"/>
        </w:rPr>
        <w:t>(dále</w:t>
      </w:r>
      <w:r w:rsidRPr="00173453">
        <w:rPr>
          <w:rFonts w:ascii="Calibri" w:eastAsia="Calibri" w:hAnsi="Calibri" w:cs="Calibri"/>
          <w:b w:val="0"/>
          <w:bCs w:val="0"/>
          <w:color w:val="000000"/>
          <w:sz w:val="22"/>
          <w:szCs w:val="22"/>
        </w:rPr>
        <w:t xml:space="preserve"> jen „doba dodání“)</w:t>
      </w:r>
      <w:r w:rsidR="00F223E7">
        <w:rPr>
          <w:rFonts w:ascii="Calibri" w:eastAsia="Calibri" w:hAnsi="Calibri" w:cs="Calibri"/>
          <w:b w:val="0"/>
          <w:bCs w:val="0"/>
          <w:color w:val="000000"/>
          <w:sz w:val="22"/>
          <w:szCs w:val="22"/>
        </w:rPr>
        <w:t>, pokud se smluvní strany nedohodnou jinak.</w:t>
      </w:r>
    </w:p>
    <w:p w14:paraId="1213460F" w14:textId="309C7B69"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210742431"/>
      <w:bookmarkStart w:id="3" w:name="_Hlk147321859"/>
      <w:r w:rsidR="003139E0" w:rsidRPr="003139E0">
        <w:rPr>
          <w:rFonts w:ascii="Calibri" w:eastAsia="Calibri" w:hAnsi="Calibri" w:cs="Calibri"/>
          <w:b/>
          <w:color w:val="000000"/>
          <w:sz w:val="22"/>
          <w:szCs w:val="22"/>
        </w:rPr>
        <w:t>Středisko informatické sítě a laboratoří</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w:t>
      </w:r>
      <w:proofErr w:type="gramStart"/>
      <w:r w:rsidR="00F26E8B" w:rsidRPr="00F26E8B">
        <w:rPr>
          <w:rFonts w:ascii="Calibri" w:eastAsia="Calibri" w:hAnsi="Calibri" w:cs="Calibri"/>
          <w:b/>
          <w:sz w:val="22"/>
          <w:szCs w:val="22"/>
        </w:rPr>
        <w:t xml:space="preserve">Karlova, </w:t>
      </w:r>
      <w:bookmarkEnd w:id="0"/>
      <w:bookmarkEnd w:id="1"/>
      <w:r w:rsidR="00AC663D">
        <w:rPr>
          <w:rFonts w:ascii="Calibri" w:eastAsia="Calibri" w:hAnsi="Calibri" w:cs="Calibri"/>
          <w:b/>
          <w:sz w:val="22"/>
          <w:szCs w:val="22"/>
        </w:rPr>
        <w:t xml:space="preserve"> </w:t>
      </w:r>
      <w:bookmarkEnd w:id="2"/>
      <w:r w:rsidR="00BA245F" w:rsidRPr="00BA245F">
        <w:rPr>
          <w:rFonts w:ascii="Calibri" w:eastAsia="Calibri" w:hAnsi="Calibri" w:cs="Calibri"/>
          <w:bCs/>
          <w:sz w:val="22"/>
          <w:szCs w:val="22"/>
        </w:rPr>
        <w:t>Malostranské</w:t>
      </w:r>
      <w:proofErr w:type="gramEnd"/>
      <w:r w:rsidR="00BA245F" w:rsidRPr="00BA245F">
        <w:rPr>
          <w:rFonts w:ascii="Calibri" w:eastAsia="Calibri" w:hAnsi="Calibri" w:cs="Calibri"/>
          <w:bCs/>
          <w:sz w:val="22"/>
          <w:szCs w:val="22"/>
        </w:rPr>
        <w:t xml:space="preserve"> nám. 2/25, 118 00 Praha 1</w:t>
      </w:r>
      <w:r w:rsidR="00F26E8B" w:rsidRPr="00BB139F">
        <w:rPr>
          <w:rFonts w:ascii="Calibri" w:eastAsia="Calibri" w:hAnsi="Calibri" w:cs="Calibri"/>
          <w:bCs/>
          <w:sz w:val="22"/>
          <w:szCs w:val="22"/>
        </w:rPr>
        <w:t>.</w:t>
      </w:r>
      <w:bookmarkEnd w:id="3"/>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20D1893B" w:rsidR="00490EC8" w:rsidRDefault="00490EC8" w:rsidP="00F2550D">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BA245F">
        <w:rPr>
          <w:rFonts w:ascii="Calibri" w:eastAsia="Calibri" w:hAnsi="Calibri" w:cs="Calibri"/>
          <w:color w:val="000000"/>
          <w:sz w:val="22"/>
          <w:szCs w:val="22"/>
        </w:rPr>
        <w:t>uvede na faktuře číslo</w:t>
      </w:r>
      <w:r w:rsidR="00746682">
        <w:rPr>
          <w:rFonts w:ascii="Calibri" w:eastAsia="Calibri" w:hAnsi="Calibri" w:cs="Calibri"/>
          <w:color w:val="000000"/>
          <w:sz w:val="22"/>
          <w:szCs w:val="22"/>
        </w:rPr>
        <w:t xml:space="preserve"> </w:t>
      </w:r>
      <w:r w:rsidR="00615E4B">
        <w:rPr>
          <w:rFonts w:ascii="Calibri" w:eastAsia="Calibri" w:hAnsi="Calibri" w:cs="Calibri"/>
          <w:color w:val="000000"/>
          <w:sz w:val="22"/>
          <w:szCs w:val="22"/>
        </w:rPr>
        <w:t>dle Přílohy č. 1 – Technická specifikace</w:t>
      </w:r>
      <w:r w:rsidR="00746682">
        <w:rPr>
          <w:rFonts w:ascii="Calibri" w:eastAsia="Calibri" w:hAnsi="Calibri" w:cs="Calibri"/>
          <w:color w:val="000000"/>
          <w:sz w:val="22"/>
          <w:szCs w:val="22"/>
        </w:rPr>
        <w:t>:</w:t>
      </w:r>
      <w:r w:rsidR="00BA245F">
        <w:rPr>
          <w:rFonts w:ascii="Calibri" w:eastAsia="Calibri" w:hAnsi="Calibri" w:cs="Calibri"/>
          <w:color w:val="000000"/>
          <w:sz w:val="22"/>
          <w:szCs w:val="22"/>
        </w:rPr>
        <w:t xml:space="preserve"> </w:t>
      </w:r>
      <w:r w:rsidR="003139E0" w:rsidRPr="003139E0">
        <w:rPr>
          <w:rFonts w:ascii="Calibri" w:eastAsia="Calibri" w:hAnsi="Calibri" w:cs="Calibri"/>
          <w:color w:val="000000"/>
          <w:sz w:val="22"/>
          <w:szCs w:val="22"/>
        </w:rPr>
        <w:t>736250044</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6456F9D7" w14:textId="3F37C614" w:rsidR="00E41980" w:rsidRPr="00E41980" w:rsidRDefault="00CD70AE" w:rsidP="00A41B09">
      <w:pPr>
        <w:pBdr>
          <w:top w:val="nil"/>
          <w:left w:val="nil"/>
          <w:bottom w:val="nil"/>
          <w:right w:val="nil"/>
          <w:between w:val="nil"/>
        </w:pBdr>
        <w:ind w:left="720"/>
        <w:jc w:val="both"/>
        <w:rPr>
          <w:rFonts w:ascii="Calibri" w:eastAsia="Calibri" w:hAnsi="Calibri" w:cs="Calibri"/>
          <w:b/>
          <w:bCs/>
          <w:color w:val="000000"/>
          <w:sz w:val="22"/>
          <w:szCs w:val="22"/>
        </w:rPr>
      </w:pPr>
      <w:bookmarkStart w:id="4" w:name="_Hlk175831362"/>
      <w:bookmarkStart w:id="5" w:name="_Hlk188363092"/>
      <w:r w:rsidRPr="00E41980">
        <w:rPr>
          <w:rFonts w:ascii="Calibri" w:eastAsia="Calibri" w:hAnsi="Calibri" w:cs="Calibri"/>
          <w:color w:val="000000"/>
          <w:sz w:val="22"/>
          <w:szCs w:val="22"/>
        </w:rPr>
        <w:t xml:space="preserve">Název projektu: </w:t>
      </w:r>
      <w:bookmarkEnd w:id="4"/>
      <w:r w:rsidR="003139E0" w:rsidRPr="003139E0">
        <w:rPr>
          <w:rFonts w:ascii="Calibri" w:eastAsia="Calibri" w:hAnsi="Calibri" w:cs="Calibri"/>
          <w:b/>
          <w:bCs/>
          <w:color w:val="000000"/>
          <w:sz w:val="22"/>
          <w:szCs w:val="22"/>
        </w:rPr>
        <w:t>Projekt: 02_23_023 ERDF výzva pro VŠ – kvalita</w:t>
      </w:r>
    </w:p>
    <w:p w14:paraId="50F70711" w14:textId="7981585F"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r w:rsidRPr="00E41980">
        <w:rPr>
          <w:rFonts w:ascii="Calibri" w:eastAsia="Calibri" w:hAnsi="Calibri" w:cs="Calibri"/>
          <w:color w:val="000000"/>
          <w:sz w:val="22"/>
          <w:szCs w:val="22"/>
        </w:rPr>
        <w:t>Registrační číslo</w:t>
      </w:r>
      <w:r w:rsidR="00AC663D" w:rsidRPr="00E41980">
        <w:rPr>
          <w:rFonts w:ascii="Calibri" w:eastAsia="Calibri" w:hAnsi="Calibri" w:cs="Calibri"/>
          <w:color w:val="000000"/>
          <w:sz w:val="22"/>
          <w:szCs w:val="22"/>
        </w:rPr>
        <w:t xml:space="preserve">: </w:t>
      </w:r>
      <w:r w:rsidR="003139E0" w:rsidRPr="003139E0">
        <w:rPr>
          <w:rFonts w:ascii="Calibri" w:eastAsia="Calibri" w:hAnsi="Calibri" w:cs="Calibri"/>
          <w:b/>
          <w:bCs/>
          <w:color w:val="000000"/>
          <w:sz w:val="22"/>
          <w:szCs w:val="22"/>
        </w:rPr>
        <w:t>CZ.02.02.01/00/23_023/0009064</w:t>
      </w:r>
    </w:p>
    <w:bookmarkEnd w:id="5"/>
    <w:p w14:paraId="523CC77F" w14:textId="77777777"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p>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se na nabízené plnění nevztahují sankce EU a že on ani jeho poddodavatel (poddodavatelé) není osobou, subjektem či orgánem uvedeným na sankčním </w:t>
      </w:r>
      <w:r w:rsidRPr="00CD70AE">
        <w:rPr>
          <w:rFonts w:ascii="Calibri" w:eastAsia="Calibri" w:hAnsi="Calibri" w:cs="Calibri"/>
          <w:color w:val="000000"/>
          <w:sz w:val="22"/>
          <w:szCs w:val="22"/>
        </w:rPr>
        <w:lastRenderedPageBreak/>
        <w:t>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01FD7990" w:rsidR="00CC5888" w:rsidRDefault="003139E0" w:rsidP="00CC5888">
      <w:pPr>
        <w:pBdr>
          <w:top w:val="nil"/>
          <w:left w:val="nil"/>
          <w:bottom w:val="nil"/>
          <w:right w:val="nil"/>
          <w:between w:val="nil"/>
        </w:pBdr>
        <w:ind w:left="714"/>
        <w:rPr>
          <w:rFonts w:ascii="Calibri" w:eastAsia="Calibri" w:hAnsi="Calibri" w:cs="Calibri"/>
          <w:b/>
          <w:color w:val="000000"/>
          <w:sz w:val="22"/>
          <w:szCs w:val="22"/>
        </w:rPr>
      </w:pPr>
      <w:bookmarkStart w:id="6" w:name="_heading=h.gjdgxs" w:colFirst="0" w:colLast="0"/>
      <w:bookmarkEnd w:id="6"/>
      <w:r w:rsidRPr="003139E0">
        <w:rPr>
          <w:rFonts w:ascii="Calibri" w:eastAsia="Calibri" w:hAnsi="Calibri" w:cs="Calibri"/>
          <w:b/>
          <w:bCs/>
          <w:color w:val="000000"/>
          <w:sz w:val="22"/>
          <w:szCs w:val="22"/>
        </w:rPr>
        <w:t xml:space="preserve">Mgr. Radmila </w:t>
      </w:r>
      <w:proofErr w:type="spellStart"/>
      <w:r w:rsidRPr="003139E0">
        <w:rPr>
          <w:rFonts w:ascii="Calibri" w:eastAsia="Calibri" w:hAnsi="Calibri" w:cs="Calibri"/>
          <w:b/>
          <w:bCs/>
          <w:color w:val="000000"/>
          <w:sz w:val="22"/>
          <w:szCs w:val="22"/>
        </w:rPr>
        <w:t>Hacklová</w:t>
      </w:r>
      <w:proofErr w:type="spellEnd"/>
      <w:r w:rsidR="007F1D9E">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3139E0">
        <w:rPr>
          <w:rFonts w:ascii="Calibri" w:eastAsia="Calibri" w:hAnsi="Calibri" w:cs="Calibri"/>
          <w:b/>
          <w:color w:val="000000"/>
          <w:sz w:val="22"/>
          <w:szCs w:val="22"/>
        </w:rPr>
        <w:t>95155 4209</w:t>
      </w:r>
      <w:r w:rsidR="00173453" w:rsidRPr="00173453">
        <w:rPr>
          <w:rFonts w:ascii="Calibri" w:eastAsia="Calibri" w:hAnsi="Calibri" w:cs="Calibri"/>
          <w:b/>
          <w:color w:val="000000"/>
          <w:sz w:val="22"/>
          <w:szCs w:val="22"/>
        </w:rPr>
        <w:t xml:space="preserve">, </w:t>
      </w:r>
      <w:r w:rsidRPr="003139E0">
        <w:rPr>
          <w:rFonts w:ascii="Calibri" w:eastAsia="Calibri" w:hAnsi="Calibri" w:cs="Calibri"/>
          <w:b/>
          <w:color w:val="000000"/>
          <w:sz w:val="22"/>
          <w:szCs w:val="22"/>
        </w:rPr>
        <w:t>hacklova@sisal.mff.cuni.cz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67A5AA9C"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5F208C40"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A5D02A2"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41B09">
        <w:rPr>
          <w:rFonts w:ascii="Calibri" w:eastAsia="Calibri" w:hAnsi="Calibri" w:cs="Calibri"/>
          <w:color w:val="000000"/>
          <w:sz w:val="22"/>
          <w:szCs w:val="22"/>
        </w:rPr>
        <w:t xml:space="preserve">. </w:t>
      </w:r>
      <w:r w:rsidR="00BA245F" w:rsidRPr="00BA245F">
        <w:rPr>
          <w:rFonts w:ascii="Calibri" w:eastAsia="Calibri" w:hAnsi="Calibri" w:cs="Calibri"/>
          <w:b/>
          <w:bCs/>
          <w:color w:val="000000"/>
          <w:sz w:val="22"/>
          <w:szCs w:val="22"/>
        </w:rPr>
        <w:t>Konkrétní podmínky a délka záruky je uvedena v Příloze č. 1 – Technická specifikace.</w:t>
      </w:r>
      <w:r w:rsidR="00BA245F">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7" w:name="_heading=h.30j0zll" w:colFirst="0" w:colLast="0"/>
      <w:bookmarkEnd w:id="7"/>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42293B">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7906AB6" w14:textId="77777777" w:rsidR="00FF6DD5" w:rsidRDefault="00FF6DD5" w:rsidP="00FF6DD5">
      <w:pPr>
        <w:pBdr>
          <w:top w:val="nil"/>
          <w:left w:val="nil"/>
          <w:bottom w:val="nil"/>
          <w:right w:val="nil"/>
          <w:between w:val="nil"/>
        </w:pBdr>
        <w:ind w:left="720"/>
        <w:rPr>
          <w:rFonts w:ascii="Calibri" w:eastAsia="Calibri" w:hAnsi="Calibri" w:cs="Calibri"/>
          <w:b/>
          <w:bCs/>
          <w:color w:val="000000"/>
          <w:sz w:val="22"/>
          <w:szCs w:val="22"/>
        </w:rPr>
      </w:pPr>
    </w:p>
    <w:p w14:paraId="6375D087" w14:textId="7A5E1D21" w:rsidR="00FF6DD5" w:rsidRPr="00FF6DD5" w:rsidRDefault="00FF6DD5" w:rsidP="00FF6DD5">
      <w:pPr>
        <w:pBdr>
          <w:top w:val="nil"/>
          <w:left w:val="nil"/>
          <w:bottom w:val="nil"/>
          <w:right w:val="nil"/>
          <w:between w:val="nil"/>
        </w:pBdr>
        <w:ind w:left="720"/>
        <w:rPr>
          <w:rFonts w:ascii="Calibri" w:eastAsia="Calibri" w:hAnsi="Calibri" w:cs="Calibri"/>
          <w:b/>
          <w:bCs/>
          <w:color w:val="000000"/>
          <w:sz w:val="22"/>
          <w:szCs w:val="22"/>
        </w:rPr>
      </w:pPr>
      <w:bookmarkStart w:id="8" w:name="_Hlk211417547"/>
      <w:r w:rsidRPr="00FF6DD5">
        <w:rPr>
          <w:rFonts w:ascii="Calibri" w:eastAsia="Calibri" w:hAnsi="Calibri" w:cs="Calibri"/>
          <w:b/>
          <w:bCs/>
          <w:color w:val="000000"/>
          <w:sz w:val="22"/>
          <w:szCs w:val="22"/>
        </w:rPr>
        <w:t>Nedílnou součástí této smlouvy jsou přílohy:</w:t>
      </w:r>
    </w:p>
    <w:p w14:paraId="240AFFEE" w14:textId="77777777" w:rsidR="00FF6DD5" w:rsidRPr="00FF6DD5" w:rsidRDefault="00FF6DD5" w:rsidP="00FF6DD5">
      <w:pPr>
        <w:pBdr>
          <w:top w:val="nil"/>
          <w:left w:val="nil"/>
          <w:bottom w:val="nil"/>
          <w:right w:val="nil"/>
          <w:between w:val="nil"/>
        </w:pBdr>
        <w:ind w:left="720"/>
        <w:rPr>
          <w:rFonts w:ascii="Calibri" w:eastAsia="Calibri" w:hAnsi="Calibri" w:cs="Calibri"/>
          <w:color w:val="000000"/>
          <w:sz w:val="22"/>
          <w:szCs w:val="22"/>
        </w:rPr>
      </w:pPr>
      <w:r w:rsidRPr="00FF6DD5">
        <w:rPr>
          <w:rFonts w:ascii="Calibri" w:eastAsia="Calibri" w:hAnsi="Calibri" w:cs="Calibri"/>
          <w:color w:val="000000"/>
          <w:sz w:val="22"/>
          <w:szCs w:val="22"/>
        </w:rPr>
        <w:t>Příloha č. 1 – Technické specifikace</w:t>
      </w:r>
    </w:p>
    <w:p w14:paraId="2E47E15A" w14:textId="5509262D" w:rsidR="00FF6DD5" w:rsidRDefault="00FF6DD5" w:rsidP="00FF6DD5">
      <w:pPr>
        <w:pBdr>
          <w:top w:val="nil"/>
          <w:left w:val="nil"/>
          <w:bottom w:val="nil"/>
          <w:right w:val="nil"/>
          <w:between w:val="nil"/>
        </w:pBdr>
        <w:ind w:left="720"/>
        <w:rPr>
          <w:rFonts w:ascii="Calibri" w:eastAsia="Calibri" w:hAnsi="Calibri" w:cs="Calibri"/>
          <w:color w:val="000000"/>
          <w:sz w:val="22"/>
          <w:szCs w:val="22"/>
        </w:rPr>
      </w:pPr>
      <w:r w:rsidRPr="00FF6DD5">
        <w:rPr>
          <w:rFonts w:ascii="Calibri" w:eastAsia="Calibri" w:hAnsi="Calibri" w:cs="Calibri"/>
          <w:color w:val="000000"/>
          <w:sz w:val="22"/>
          <w:szCs w:val="22"/>
        </w:rPr>
        <w:t>Příloha č. 2 – Technické listy (</w:t>
      </w:r>
      <w:proofErr w:type="spellStart"/>
      <w:r w:rsidRPr="00FF6DD5">
        <w:rPr>
          <w:rFonts w:ascii="Calibri" w:eastAsia="Calibri" w:hAnsi="Calibri" w:cs="Calibri"/>
          <w:color w:val="000000"/>
          <w:sz w:val="22"/>
          <w:szCs w:val="22"/>
        </w:rPr>
        <w:t>Datasheets</w:t>
      </w:r>
      <w:proofErr w:type="spellEnd"/>
      <w:r w:rsidRPr="00FF6DD5">
        <w:rPr>
          <w:rFonts w:ascii="Calibri" w:eastAsia="Calibri" w:hAnsi="Calibri" w:cs="Calibri"/>
          <w:color w:val="000000"/>
          <w:sz w:val="22"/>
          <w:szCs w:val="22"/>
        </w:rPr>
        <w:t>) [</w:t>
      </w:r>
      <w:r w:rsidRPr="00FF6DD5">
        <w:rPr>
          <w:rFonts w:ascii="Calibri" w:eastAsia="Calibri" w:hAnsi="Calibri" w:cs="Calibri"/>
          <w:color w:val="000000"/>
          <w:sz w:val="22"/>
          <w:szCs w:val="22"/>
          <w:highlight w:val="yellow"/>
        </w:rPr>
        <w:t>DOPLNIT v případě relevantnosti</w:t>
      </w:r>
      <w:r w:rsidRPr="00FF6DD5">
        <w:rPr>
          <w:rFonts w:ascii="Calibri" w:eastAsia="Calibri" w:hAnsi="Calibri" w:cs="Calibri"/>
          <w:color w:val="000000"/>
          <w:sz w:val="22"/>
          <w:szCs w:val="22"/>
        </w:rPr>
        <w:t>]</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9" w:name="_heading=h.1fob9te" w:colFirst="0" w:colLast="0"/>
      <w:bookmarkEnd w:id="9"/>
    </w:p>
    <w:p w14:paraId="17FD3155" w14:textId="39C9B100" w:rsidR="00FF6DD5" w:rsidRPr="002C6A55" w:rsidRDefault="00FF6DD5">
      <w:pPr>
        <w:pBdr>
          <w:top w:val="nil"/>
          <w:left w:val="nil"/>
          <w:bottom w:val="nil"/>
          <w:right w:val="nil"/>
          <w:between w:val="nil"/>
        </w:pBdr>
        <w:spacing w:line="276" w:lineRule="auto"/>
        <w:ind w:left="720"/>
        <w:jc w:val="both"/>
        <w:rPr>
          <w:rFonts w:ascii="Calibri" w:eastAsia="Calibri" w:hAnsi="Calibri" w:cs="Calibri"/>
          <w:color w:val="000000"/>
          <w:sz w:val="20"/>
          <w:szCs w:val="20"/>
        </w:rPr>
      </w:pPr>
      <w:r w:rsidRPr="002C6A55">
        <w:rPr>
          <w:rFonts w:ascii="Calibri" w:eastAsia="Calibri" w:hAnsi="Calibri" w:cs="Calibri"/>
          <w:color w:val="000000"/>
          <w:sz w:val="20"/>
          <w:szCs w:val="20"/>
        </w:rPr>
        <w:t>V Praze dne …………………</w:t>
      </w:r>
    </w:p>
    <w:p w14:paraId="0000008B" w14:textId="231CEBD2" w:rsidR="006666EB" w:rsidRPr="002C6A55" w:rsidRDefault="00FF6DD5" w:rsidP="00186DB2">
      <w:pPr>
        <w:pBdr>
          <w:top w:val="nil"/>
          <w:left w:val="nil"/>
          <w:bottom w:val="nil"/>
          <w:right w:val="nil"/>
          <w:between w:val="nil"/>
        </w:pBdr>
        <w:spacing w:line="276" w:lineRule="auto"/>
        <w:jc w:val="both"/>
        <w:rPr>
          <w:rFonts w:ascii="Calibri" w:eastAsia="Calibri" w:hAnsi="Calibri" w:cs="Calibri"/>
          <w:color w:val="000000"/>
          <w:sz w:val="20"/>
          <w:szCs w:val="20"/>
        </w:rPr>
      </w:pP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t>V [</w:t>
      </w:r>
      <w:r w:rsidRPr="002C6A55">
        <w:rPr>
          <w:rFonts w:ascii="Calibri" w:eastAsia="Calibri" w:hAnsi="Calibri" w:cs="Calibri"/>
          <w:color w:val="000000"/>
          <w:sz w:val="20"/>
          <w:szCs w:val="20"/>
          <w:highlight w:val="yellow"/>
        </w:rPr>
        <w:t>doplní Dodavatel</w:t>
      </w:r>
      <w:r w:rsidRPr="002C6A55">
        <w:rPr>
          <w:rFonts w:ascii="Calibri" w:eastAsia="Calibri" w:hAnsi="Calibri" w:cs="Calibri"/>
          <w:color w:val="000000"/>
          <w:sz w:val="20"/>
          <w:szCs w:val="20"/>
        </w:rPr>
        <w:t>] dne [</w:t>
      </w:r>
      <w:r w:rsidRPr="002C6A55">
        <w:rPr>
          <w:rFonts w:ascii="Calibri" w:eastAsia="Calibri" w:hAnsi="Calibri" w:cs="Calibri"/>
          <w:color w:val="000000"/>
          <w:sz w:val="20"/>
          <w:szCs w:val="20"/>
          <w:highlight w:val="yellow"/>
        </w:rPr>
        <w:t>doplní Dodavatel</w:t>
      </w:r>
      <w:r w:rsidRPr="002C6A55">
        <w:rPr>
          <w:rFonts w:ascii="Calibri" w:eastAsia="Calibri" w:hAnsi="Calibri" w:cs="Calibri"/>
          <w:color w:val="000000"/>
          <w:sz w:val="20"/>
          <w:szCs w:val="20"/>
        </w:rPr>
        <w:t>]</w:t>
      </w:r>
    </w:p>
    <w:p w14:paraId="0634C95A" w14:textId="77777777" w:rsidR="00FF6DD5" w:rsidRDefault="00FF6DD5" w:rsidP="00186DB2">
      <w:pPr>
        <w:pBdr>
          <w:top w:val="nil"/>
          <w:left w:val="nil"/>
          <w:bottom w:val="nil"/>
          <w:right w:val="nil"/>
          <w:between w:val="nil"/>
        </w:pBdr>
        <w:spacing w:line="276" w:lineRule="auto"/>
        <w:jc w:val="both"/>
        <w:rPr>
          <w:rFonts w:ascii="Calibri" w:eastAsia="Calibri" w:hAnsi="Calibri" w:cs="Calibri"/>
          <w:color w:val="000000"/>
          <w:sz w:val="20"/>
          <w:szCs w:val="20"/>
        </w:rPr>
      </w:pPr>
    </w:p>
    <w:p w14:paraId="3FAC4343" w14:textId="77777777" w:rsidR="002C6A55" w:rsidRDefault="002C6A55" w:rsidP="00186DB2">
      <w:pPr>
        <w:pBdr>
          <w:top w:val="nil"/>
          <w:left w:val="nil"/>
          <w:bottom w:val="nil"/>
          <w:right w:val="nil"/>
          <w:between w:val="nil"/>
        </w:pBdr>
        <w:spacing w:line="276" w:lineRule="auto"/>
        <w:jc w:val="both"/>
        <w:rPr>
          <w:rFonts w:ascii="Calibri" w:eastAsia="Calibri" w:hAnsi="Calibri" w:cs="Calibri"/>
          <w:color w:val="000000"/>
          <w:sz w:val="20"/>
          <w:szCs w:val="20"/>
        </w:rPr>
      </w:pPr>
    </w:p>
    <w:p w14:paraId="020818F9" w14:textId="77777777" w:rsidR="002C6A55" w:rsidRDefault="002C6A55" w:rsidP="00186DB2">
      <w:pPr>
        <w:pBdr>
          <w:top w:val="nil"/>
          <w:left w:val="nil"/>
          <w:bottom w:val="nil"/>
          <w:right w:val="nil"/>
          <w:between w:val="nil"/>
        </w:pBdr>
        <w:spacing w:line="276" w:lineRule="auto"/>
        <w:jc w:val="both"/>
        <w:rPr>
          <w:rFonts w:ascii="Calibri" w:eastAsia="Calibri" w:hAnsi="Calibri" w:cs="Calibri"/>
          <w:color w:val="000000"/>
          <w:sz w:val="20"/>
          <w:szCs w:val="20"/>
        </w:rPr>
      </w:pPr>
    </w:p>
    <w:p w14:paraId="610366F7" w14:textId="77777777" w:rsidR="002C6A55" w:rsidRDefault="002C6A55" w:rsidP="00186DB2">
      <w:pPr>
        <w:pBdr>
          <w:top w:val="nil"/>
          <w:left w:val="nil"/>
          <w:bottom w:val="nil"/>
          <w:right w:val="nil"/>
          <w:between w:val="nil"/>
        </w:pBdr>
        <w:spacing w:line="276" w:lineRule="auto"/>
        <w:jc w:val="both"/>
        <w:rPr>
          <w:rFonts w:ascii="Calibri" w:eastAsia="Calibri" w:hAnsi="Calibri" w:cs="Calibri"/>
          <w:color w:val="000000"/>
          <w:sz w:val="20"/>
          <w:szCs w:val="20"/>
        </w:rPr>
      </w:pPr>
    </w:p>
    <w:p w14:paraId="2D70B9E5" w14:textId="77777777" w:rsidR="002C6A55" w:rsidRPr="002C6A55" w:rsidRDefault="002C6A55" w:rsidP="00186DB2">
      <w:pPr>
        <w:pBdr>
          <w:top w:val="nil"/>
          <w:left w:val="nil"/>
          <w:bottom w:val="nil"/>
          <w:right w:val="nil"/>
          <w:between w:val="nil"/>
        </w:pBdr>
        <w:spacing w:line="276" w:lineRule="auto"/>
        <w:jc w:val="both"/>
        <w:rPr>
          <w:rFonts w:ascii="Calibri" w:eastAsia="Calibri" w:hAnsi="Calibri" w:cs="Calibri"/>
          <w:color w:val="000000"/>
          <w:sz w:val="20"/>
          <w:szCs w:val="20"/>
        </w:rPr>
      </w:pPr>
    </w:p>
    <w:p w14:paraId="262EA36A" w14:textId="6C70CF36" w:rsidR="00FF6DD5" w:rsidRPr="002C6A55" w:rsidRDefault="002C6A55" w:rsidP="002C6A55">
      <w:pPr>
        <w:pBdr>
          <w:top w:val="nil"/>
          <w:left w:val="nil"/>
          <w:bottom w:val="nil"/>
          <w:right w:val="nil"/>
          <w:between w:val="nil"/>
        </w:pBdr>
        <w:spacing w:line="276" w:lineRule="auto"/>
        <w:ind w:firstLine="709"/>
        <w:jc w:val="both"/>
        <w:rPr>
          <w:rFonts w:ascii="Calibri" w:eastAsia="Calibri" w:hAnsi="Calibri" w:cs="Calibri"/>
          <w:color w:val="000000"/>
          <w:sz w:val="20"/>
          <w:szCs w:val="20"/>
        </w:rPr>
      </w:pPr>
      <w:r w:rsidRPr="002C6A55">
        <w:rPr>
          <w:rFonts w:ascii="Calibri" w:eastAsia="Calibri" w:hAnsi="Calibri" w:cs="Calibri"/>
          <w:color w:val="000000"/>
          <w:sz w:val="20"/>
          <w:szCs w:val="20"/>
        </w:rPr>
        <w:t>__________________</w:t>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t>__________________</w:t>
      </w:r>
    </w:p>
    <w:p w14:paraId="6FDD661D" w14:textId="32A2E8DA" w:rsidR="002C6A55" w:rsidRPr="002C6A55" w:rsidRDefault="002C6A55" w:rsidP="002C6A55">
      <w:pPr>
        <w:pBdr>
          <w:top w:val="nil"/>
          <w:left w:val="nil"/>
          <w:bottom w:val="nil"/>
          <w:right w:val="nil"/>
          <w:between w:val="nil"/>
        </w:pBdr>
        <w:spacing w:line="276" w:lineRule="auto"/>
        <w:ind w:left="709"/>
        <w:jc w:val="both"/>
        <w:rPr>
          <w:rFonts w:ascii="Calibri" w:eastAsia="Calibri" w:hAnsi="Calibri" w:cs="Calibri"/>
          <w:color w:val="000000"/>
          <w:sz w:val="20"/>
          <w:szCs w:val="20"/>
        </w:rPr>
      </w:pPr>
      <w:r w:rsidRPr="002C6A55">
        <w:rPr>
          <w:rFonts w:ascii="Calibri" w:eastAsia="Calibri" w:hAnsi="Calibri" w:cs="Calibri"/>
          <w:color w:val="000000"/>
          <w:sz w:val="20"/>
          <w:szCs w:val="20"/>
        </w:rPr>
        <w:t>Za Kupujícího</w:t>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t>Za Prodávajícího</w:t>
      </w:r>
    </w:p>
    <w:p w14:paraId="67AE30FF" w14:textId="638F71DE" w:rsidR="002C6A55" w:rsidRPr="002C6A55" w:rsidRDefault="002C6A55" w:rsidP="002C6A55">
      <w:pPr>
        <w:pBdr>
          <w:top w:val="nil"/>
          <w:left w:val="nil"/>
          <w:bottom w:val="nil"/>
          <w:right w:val="nil"/>
          <w:between w:val="nil"/>
        </w:pBdr>
        <w:spacing w:line="276" w:lineRule="auto"/>
        <w:ind w:left="709"/>
        <w:jc w:val="both"/>
        <w:rPr>
          <w:rFonts w:ascii="Calibri" w:eastAsia="Calibri" w:hAnsi="Calibri" w:cs="Calibri"/>
          <w:color w:val="000000"/>
          <w:sz w:val="20"/>
          <w:szCs w:val="20"/>
        </w:rPr>
      </w:pPr>
      <w:r w:rsidRPr="002C6A55">
        <w:rPr>
          <w:rFonts w:ascii="Calibri" w:eastAsia="Calibri" w:hAnsi="Calibri" w:cs="Calibri"/>
          <w:color w:val="000000"/>
          <w:sz w:val="20"/>
          <w:szCs w:val="20"/>
        </w:rPr>
        <w:t>Ing. Blanka Svobodová</w:t>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r>
      <w:r w:rsidRPr="002C6A55">
        <w:rPr>
          <w:rFonts w:ascii="Calibri" w:eastAsia="Calibri" w:hAnsi="Calibri" w:cs="Calibri"/>
          <w:color w:val="000000"/>
          <w:sz w:val="20"/>
          <w:szCs w:val="20"/>
        </w:rPr>
        <w:tab/>
        <w:t>[</w:t>
      </w:r>
      <w:r w:rsidRPr="002C6A55">
        <w:rPr>
          <w:rFonts w:ascii="Calibri" w:eastAsia="Calibri" w:hAnsi="Calibri" w:cs="Calibri"/>
          <w:color w:val="000000"/>
          <w:sz w:val="20"/>
          <w:szCs w:val="20"/>
          <w:highlight w:val="yellow"/>
        </w:rPr>
        <w:t>doplní Dodavatel</w:t>
      </w:r>
      <w:r w:rsidRPr="002C6A55">
        <w:rPr>
          <w:rFonts w:ascii="Calibri" w:eastAsia="Calibri" w:hAnsi="Calibri" w:cs="Calibri"/>
          <w:color w:val="000000"/>
          <w:sz w:val="20"/>
          <w:szCs w:val="20"/>
        </w:rPr>
        <w:t>]</w:t>
      </w:r>
    </w:p>
    <w:p w14:paraId="00000097" w14:textId="6868FFDC" w:rsidR="006666EB" w:rsidRPr="0042293B" w:rsidRDefault="002C6A55" w:rsidP="0042293B">
      <w:pPr>
        <w:pBdr>
          <w:top w:val="nil"/>
          <w:left w:val="nil"/>
          <w:bottom w:val="nil"/>
          <w:right w:val="nil"/>
          <w:between w:val="nil"/>
        </w:pBdr>
        <w:spacing w:line="276" w:lineRule="auto"/>
        <w:ind w:left="709"/>
        <w:jc w:val="both"/>
        <w:rPr>
          <w:rFonts w:ascii="Calibri" w:eastAsia="Calibri" w:hAnsi="Calibri" w:cs="Calibri"/>
          <w:color w:val="000000"/>
          <w:sz w:val="20"/>
          <w:szCs w:val="20"/>
        </w:rPr>
      </w:pPr>
      <w:r w:rsidRPr="002C6A55">
        <w:rPr>
          <w:rFonts w:ascii="Calibri" w:eastAsia="Calibri" w:hAnsi="Calibri" w:cs="Calibri"/>
          <w:color w:val="000000"/>
          <w:sz w:val="20"/>
          <w:szCs w:val="20"/>
        </w:rPr>
        <w:t>Tajemnice MFF UK</w:t>
      </w:r>
      <w:bookmarkEnd w:id="8"/>
    </w:p>
    <w:sectPr w:rsidR="006666EB" w:rsidRPr="0042293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50615"/>
    <w:rsid w:val="0006000C"/>
    <w:rsid w:val="000D51D4"/>
    <w:rsid w:val="000E4C36"/>
    <w:rsid w:val="00133620"/>
    <w:rsid w:val="0013458A"/>
    <w:rsid w:val="0015116D"/>
    <w:rsid w:val="00173453"/>
    <w:rsid w:val="00186DB2"/>
    <w:rsid w:val="001A33E1"/>
    <w:rsid w:val="001B172F"/>
    <w:rsid w:val="0020183C"/>
    <w:rsid w:val="002059EF"/>
    <w:rsid w:val="00256467"/>
    <w:rsid w:val="00257F03"/>
    <w:rsid w:val="002933CE"/>
    <w:rsid w:val="002C6A55"/>
    <w:rsid w:val="003139E0"/>
    <w:rsid w:val="0032028D"/>
    <w:rsid w:val="00357D15"/>
    <w:rsid w:val="0036352D"/>
    <w:rsid w:val="00373595"/>
    <w:rsid w:val="003850FA"/>
    <w:rsid w:val="003924FD"/>
    <w:rsid w:val="003C14B6"/>
    <w:rsid w:val="00422884"/>
    <w:rsid w:val="0042293B"/>
    <w:rsid w:val="004663CA"/>
    <w:rsid w:val="00466473"/>
    <w:rsid w:val="00490EC8"/>
    <w:rsid w:val="004A71DF"/>
    <w:rsid w:val="004C1897"/>
    <w:rsid w:val="004C7A67"/>
    <w:rsid w:val="004D5727"/>
    <w:rsid w:val="004E10FC"/>
    <w:rsid w:val="004E71AD"/>
    <w:rsid w:val="004F7E99"/>
    <w:rsid w:val="00503D9D"/>
    <w:rsid w:val="00510AD0"/>
    <w:rsid w:val="00515FF5"/>
    <w:rsid w:val="005177EA"/>
    <w:rsid w:val="005477DD"/>
    <w:rsid w:val="005851B9"/>
    <w:rsid w:val="0058753C"/>
    <w:rsid w:val="005A2982"/>
    <w:rsid w:val="005E3D6B"/>
    <w:rsid w:val="00615E4B"/>
    <w:rsid w:val="00645CB7"/>
    <w:rsid w:val="006666EB"/>
    <w:rsid w:val="00673029"/>
    <w:rsid w:val="00676A1B"/>
    <w:rsid w:val="006833D2"/>
    <w:rsid w:val="006B3E3B"/>
    <w:rsid w:val="006C56C1"/>
    <w:rsid w:val="006D7B5A"/>
    <w:rsid w:val="007035FD"/>
    <w:rsid w:val="007429D2"/>
    <w:rsid w:val="00746682"/>
    <w:rsid w:val="00747DD7"/>
    <w:rsid w:val="0075463E"/>
    <w:rsid w:val="00783073"/>
    <w:rsid w:val="007A769D"/>
    <w:rsid w:val="007C0611"/>
    <w:rsid w:val="007C349C"/>
    <w:rsid w:val="007F1D9E"/>
    <w:rsid w:val="007F52AC"/>
    <w:rsid w:val="007F6015"/>
    <w:rsid w:val="008360CF"/>
    <w:rsid w:val="008B1118"/>
    <w:rsid w:val="008D5E24"/>
    <w:rsid w:val="008F361B"/>
    <w:rsid w:val="008F5AE3"/>
    <w:rsid w:val="00906C2E"/>
    <w:rsid w:val="00921AB7"/>
    <w:rsid w:val="009E5CAA"/>
    <w:rsid w:val="00A41B09"/>
    <w:rsid w:val="00A41C3A"/>
    <w:rsid w:val="00A41EEC"/>
    <w:rsid w:val="00A44948"/>
    <w:rsid w:val="00A5505E"/>
    <w:rsid w:val="00A63AC8"/>
    <w:rsid w:val="00A75AFF"/>
    <w:rsid w:val="00A82B80"/>
    <w:rsid w:val="00A87F6E"/>
    <w:rsid w:val="00A93576"/>
    <w:rsid w:val="00AA72D8"/>
    <w:rsid w:val="00AC4B2E"/>
    <w:rsid w:val="00AC663D"/>
    <w:rsid w:val="00AE0D0C"/>
    <w:rsid w:val="00B13F02"/>
    <w:rsid w:val="00B15CD9"/>
    <w:rsid w:val="00B41703"/>
    <w:rsid w:val="00B61DED"/>
    <w:rsid w:val="00B625C7"/>
    <w:rsid w:val="00B656EB"/>
    <w:rsid w:val="00BA245F"/>
    <w:rsid w:val="00BB139F"/>
    <w:rsid w:val="00BC0C70"/>
    <w:rsid w:val="00BE6F2B"/>
    <w:rsid w:val="00BF2890"/>
    <w:rsid w:val="00C15CDD"/>
    <w:rsid w:val="00C324CF"/>
    <w:rsid w:val="00CA6193"/>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56"/>
    <w:rsid w:val="00DC07D4"/>
    <w:rsid w:val="00DE0D81"/>
    <w:rsid w:val="00E07ABE"/>
    <w:rsid w:val="00E33260"/>
    <w:rsid w:val="00E404A5"/>
    <w:rsid w:val="00E41980"/>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765D5"/>
    <w:rsid w:val="00F91676"/>
    <w:rsid w:val="00FB2A15"/>
    <w:rsid w:val="00FF6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1942</Words>
  <Characters>11463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50</cp:revision>
  <dcterms:created xsi:type="dcterms:W3CDTF">2021-11-12T13:24:00Z</dcterms:created>
  <dcterms:modified xsi:type="dcterms:W3CDTF">2025-10-15T08:46:00Z</dcterms:modified>
</cp:coreProperties>
</file>