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3B75" w14:textId="77777777" w:rsidR="0032731C" w:rsidRPr="0032731C" w:rsidRDefault="0032731C" w:rsidP="0032731C">
      <w:pPr>
        <w:spacing w:after="0" w:line="240" w:lineRule="auto"/>
        <w:textAlignment w:val="baseline"/>
        <w:rPr>
          <w:rFonts w:ascii="Segoe UI" w:eastAsia="Times New Roman" w:hAnsi="Segoe UI" w:cs="Segoe UI"/>
          <w:kern w:val="0"/>
          <w:sz w:val="18"/>
          <w:szCs w:val="18"/>
          <w:lang w:eastAsia="cs-CZ"/>
          <w14:ligatures w14:val="none"/>
        </w:rPr>
      </w:pPr>
      <w:r w:rsidRPr="0032731C">
        <w:rPr>
          <w:rFonts w:ascii="Times New Roman" w:eastAsia="Times New Roman" w:hAnsi="Times New Roman" w:cs="Times New Roman"/>
          <w:kern w:val="0"/>
          <w:lang w:eastAsia="cs-CZ"/>
          <w14:ligatures w14:val="none"/>
        </w:rPr>
        <w:t>Příloha č. 2 Technická specifikace </w:t>
      </w:r>
    </w:p>
    <w:p w14:paraId="0669D731" w14:textId="77777777" w:rsidR="0032731C" w:rsidRPr="0032731C" w:rsidRDefault="0032731C" w:rsidP="0032731C">
      <w:pPr>
        <w:spacing w:after="0" w:line="240" w:lineRule="auto"/>
        <w:textAlignment w:val="baseline"/>
        <w:rPr>
          <w:rFonts w:ascii="Segoe UI" w:eastAsia="Times New Roman" w:hAnsi="Segoe UI" w:cs="Segoe UI"/>
          <w:kern w:val="0"/>
          <w:sz w:val="18"/>
          <w:szCs w:val="18"/>
          <w:lang w:eastAsia="cs-CZ"/>
          <w14:ligatures w14:val="none"/>
        </w:rPr>
      </w:pPr>
      <w:r w:rsidRPr="0032731C">
        <w:rPr>
          <w:rFonts w:ascii="Times New Roman" w:eastAsia="Times New Roman" w:hAnsi="Times New Roman" w:cs="Times New Roman"/>
          <w:kern w:val="0"/>
          <w:lang w:eastAsia="cs-CZ"/>
          <w14:ligatures w14:val="none"/>
        </w:rPr>
        <w:t> </w:t>
      </w:r>
    </w:p>
    <w:p w14:paraId="2571248E" w14:textId="77777777" w:rsidR="0032731C" w:rsidRPr="0032731C" w:rsidRDefault="0032731C" w:rsidP="0032731C">
      <w:pPr>
        <w:spacing w:after="0" w:line="240" w:lineRule="auto"/>
        <w:jc w:val="center"/>
        <w:textAlignment w:val="baseline"/>
        <w:rPr>
          <w:rFonts w:ascii="Segoe UI" w:eastAsia="Times New Roman" w:hAnsi="Segoe UI" w:cs="Segoe UI"/>
          <w:kern w:val="0"/>
          <w:sz w:val="18"/>
          <w:szCs w:val="18"/>
          <w:lang w:eastAsia="cs-CZ"/>
          <w14:ligatures w14:val="none"/>
        </w:rPr>
      </w:pPr>
      <w:r w:rsidRPr="0032731C">
        <w:rPr>
          <w:rFonts w:ascii="Times New Roman" w:eastAsia="Times New Roman" w:hAnsi="Times New Roman" w:cs="Times New Roman"/>
          <w:b/>
          <w:bCs/>
          <w:kern w:val="0"/>
          <w:sz w:val="32"/>
          <w:szCs w:val="32"/>
          <w:lang w:eastAsia="cs-CZ"/>
          <w14:ligatures w14:val="none"/>
        </w:rPr>
        <w:t>Technická specifikace předmětu plnění</w:t>
      </w:r>
      <w:r w:rsidRPr="0032731C">
        <w:rPr>
          <w:rFonts w:ascii="Times New Roman" w:eastAsia="Times New Roman" w:hAnsi="Times New Roman" w:cs="Times New Roman"/>
          <w:kern w:val="0"/>
          <w:sz w:val="32"/>
          <w:szCs w:val="32"/>
          <w:lang w:eastAsia="cs-CZ"/>
          <w14:ligatures w14:val="none"/>
        </w:rPr>
        <w:t> </w:t>
      </w:r>
    </w:p>
    <w:p w14:paraId="00942672" w14:textId="77777777" w:rsidR="0032731C" w:rsidRPr="0032731C" w:rsidRDefault="0032731C" w:rsidP="0032731C">
      <w:pPr>
        <w:spacing w:after="0" w:line="240" w:lineRule="auto"/>
        <w:jc w:val="center"/>
        <w:textAlignment w:val="baseline"/>
        <w:rPr>
          <w:rFonts w:ascii="Segoe UI" w:eastAsia="Times New Roman" w:hAnsi="Segoe UI" w:cs="Segoe UI"/>
          <w:kern w:val="0"/>
          <w:sz w:val="18"/>
          <w:szCs w:val="18"/>
          <w:lang w:eastAsia="cs-CZ"/>
          <w14:ligatures w14:val="none"/>
        </w:rPr>
      </w:pPr>
      <w:r w:rsidRPr="0032731C">
        <w:rPr>
          <w:rFonts w:ascii="Times New Roman" w:eastAsia="Times New Roman" w:hAnsi="Times New Roman" w:cs="Times New Roman"/>
          <w:kern w:val="0"/>
          <w:sz w:val="32"/>
          <w:szCs w:val="32"/>
          <w:lang w:eastAsia="cs-CZ"/>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570"/>
      </w:tblGrid>
      <w:tr w:rsidR="0032731C" w:rsidRPr="0032731C" w14:paraId="3407D1A4" w14:textId="77777777" w:rsidTr="0032731C">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E938222" w14:textId="77777777" w:rsidR="0032731C" w:rsidRPr="0032731C" w:rsidRDefault="0032731C" w:rsidP="0032731C">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kern w:val="0"/>
                <w:lang w:eastAsia="cs-CZ"/>
                <w14:ligatures w14:val="none"/>
              </w:rPr>
              <w:t>Název veřejné zakázky </w:t>
            </w:r>
          </w:p>
        </w:tc>
        <w:tc>
          <w:tcPr>
            <w:tcW w:w="6570" w:type="dxa"/>
            <w:tcBorders>
              <w:top w:val="single" w:sz="6" w:space="0" w:color="000000"/>
              <w:left w:val="single" w:sz="6" w:space="0" w:color="000000"/>
              <w:bottom w:val="single" w:sz="6" w:space="0" w:color="000000"/>
              <w:right w:val="single" w:sz="6" w:space="0" w:color="000000"/>
            </w:tcBorders>
            <w:hideMark/>
          </w:tcPr>
          <w:p w14:paraId="0BF43E54" w14:textId="24AA8BD6" w:rsidR="0032731C" w:rsidRPr="0032731C" w:rsidRDefault="0032731C" w:rsidP="0032731C">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b/>
                <w:bCs/>
                <w:kern w:val="0"/>
                <w:lang w:eastAsia="cs-CZ"/>
                <w14:ligatures w14:val="none"/>
              </w:rPr>
              <w:t xml:space="preserve">FAF UK – </w:t>
            </w:r>
            <w:r w:rsidR="00ED2AD4">
              <w:rPr>
                <w:rFonts w:ascii="Times New Roman" w:eastAsia="Times New Roman" w:hAnsi="Times New Roman" w:cs="Times New Roman"/>
                <w:b/>
                <w:bCs/>
                <w:kern w:val="0"/>
                <w:lang w:eastAsia="cs-CZ"/>
                <w14:ligatures w14:val="none"/>
              </w:rPr>
              <w:t>dodávka CO</w:t>
            </w:r>
            <w:r w:rsidR="00ED2AD4" w:rsidRPr="00ED2AD4">
              <w:rPr>
                <w:rFonts w:ascii="Times New Roman" w:eastAsia="Times New Roman" w:hAnsi="Times New Roman" w:cs="Times New Roman"/>
                <w:b/>
                <w:bCs/>
                <w:kern w:val="0"/>
                <w:vertAlign w:val="subscript"/>
                <w:lang w:eastAsia="cs-CZ"/>
                <w14:ligatures w14:val="none"/>
              </w:rPr>
              <w:t>2</w:t>
            </w:r>
            <w:r w:rsidR="00ED2AD4">
              <w:rPr>
                <w:rFonts w:ascii="Times New Roman" w:eastAsia="Times New Roman" w:hAnsi="Times New Roman" w:cs="Times New Roman"/>
                <w:b/>
                <w:bCs/>
                <w:kern w:val="0"/>
                <w:lang w:eastAsia="cs-CZ"/>
                <w14:ligatures w14:val="none"/>
              </w:rPr>
              <w:t xml:space="preserve"> inkubátor</w:t>
            </w:r>
            <w:r w:rsidR="00632D90">
              <w:rPr>
                <w:rFonts w:ascii="Times New Roman" w:eastAsia="Times New Roman" w:hAnsi="Times New Roman" w:cs="Times New Roman"/>
                <w:b/>
                <w:bCs/>
                <w:kern w:val="0"/>
                <w:lang w:eastAsia="cs-CZ"/>
                <w14:ligatures w14:val="none"/>
              </w:rPr>
              <w:t>ů</w:t>
            </w:r>
          </w:p>
        </w:tc>
      </w:tr>
      <w:tr w:rsidR="0032731C" w:rsidRPr="0032731C" w14:paraId="5AC3CB18" w14:textId="77777777" w:rsidTr="0032731C">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B02521A" w14:textId="77777777" w:rsidR="0032731C" w:rsidRPr="0032731C" w:rsidRDefault="0032731C" w:rsidP="0032731C">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kern w:val="0"/>
                <w:lang w:eastAsia="cs-CZ"/>
                <w14:ligatures w14:val="none"/>
              </w:rPr>
              <w:t>Zadavatel </w:t>
            </w:r>
          </w:p>
        </w:tc>
        <w:tc>
          <w:tcPr>
            <w:tcW w:w="6570" w:type="dxa"/>
            <w:tcBorders>
              <w:top w:val="single" w:sz="6" w:space="0" w:color="000000"/>
              <w:left w:val="single" w:sz="6" w:space="0" w:color="000000"/>
              <w:bottom w:val="single" w:sz="6" w:space="0" w:color="000000"/>
              <w:right w:val="single" w:sz="6" w:space="0" w:color="000000"/>
            </w:tcBorders>
            <w:hideMark/>
          </w:tcPr>
          <w:p w14:paraId="13147AE7" w14:textId="77777777" w:rsidR="0032731C" w:rsidRPr="0032731C" w:rsidRDefault="0032731C" w:rsidP="0032731C">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kern w:val="0"/>
                <w:lang w:eastAsia="cs-CZ"/>
                <w14:ligatures w14:val="none"/>
              </w:rPr>
              <w:t>Univerzita Karlova, Ovocný trh 560/5, 116 36 Praha 1 </w:t>
            </w:r>
          </w:p>
          <w:p w14:paraId="13BBA006" w14:textId="77777777" w:rsidR="0032731C" w:rsidRPr="0032731C" w:rsidRDefault="0032731C" w:rsidP="0032731C">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kern w:val="0"/>
                <w:lang w:eastAsia="cs-CZ"/>
                <w14:ligatures w14:val="none"/>
              </w:rPr>
              <w:t>Jednající součást: Farmaceutická fakulta v Hradci Králové, Akademika Heyrovského 1203/8, 500 03 Hradec Králové </w:t>
            </w:r>
          </w:p>
          <w:p w14:paraId="1FF6D12F" w14:textId="77777777" w:rsidR="0032731C" w:rsidRPr="0032731C" w:rsidRDefault="0032731C" w:rsidP="0032731C">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kern w:val="0"/>
                <w:lang w:eastAsia="cs-CZ"/>
                <w14:ligatures w14:val="none"/>
              </w:rPr>
              <w:t>IČ: 00216208, DIČ: CZ00216208 </w:t>
            </w:r>
          </w:p>
        </w:tc>
      </w:tr>
      <w:tr w:rsidR="0032731C" w:rsidRPr="0032731C" w14:paraId="67BCA2B7" w14:textId="77777777" w:rsidTr="0032731C">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D9D9D9"/>
            <w:hideMark/>
          </w:tcPr>
          <w:p w14:paraId="24533B73" w14:textId="77777777" w:rsidR="0032731C" w:rsidRPr="0032731C" w:rsidRDefault="0032731C" w:rsidP="0032731C">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kern w:val="0"/>
                <w:lang w:eastAsia="cs-CZ"/>
                <w14:ligatures w14:val="none"/>
              </w:rPr>
              <w:t>Druh řízení </w:t>
            </w:r>
          </w:p>
        </w:tc>
        <w:tc>
          <w:tcPr>
            <w:tcW w:w="6570" w:type="dxa"/>
            <w:tcBorders>
              <w:top w:val="single" w:sz="6" w:space="0" w:color="000000"/>
              <w:left w:val="single" w:sz="6" w:space="0" w:color="000000"/>
              <w:bottom w:val="single" w:sz="6" w:space="0" w:color="000000"/>
              <w:right w:val="single" w:sz="6" w:space="0" w:color="000000"/>
            </w:tcBorders>
            <w:hideMark/>
          </w:tcPr>
          <w:p w14:paraId="281C7B8D" w14:textId="77777777" w:rsidR="0032731C" w:rsidRPr="0032731C" w:rsidRDefault="0032731C" w:rsidP="0032731C">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kern w:val="0"/>
                <w:lang w:eastAsia="cs-CZ"/>
                <w14:ligatures w14:val="none"/>
              </w:rPr>
              <w:t>Otevřené řízení veřejné zakázky na dodávky v nadlimitním režimu dle zákona č. 134/2016 Sb., v platném znění. </w:t>
            </w:r>
          </w:p>
        </w:tc>
      </w:tr>
    </w:tbl>
    <w:p w14:paraId="4ABB4628" w14:textId="77777777" w:rsidR="0032731C" w:rsidRPr="0032731C" w:rsidRDefault="0032731C" w:rsidP="0032731C">
      <w:pPr>
        <w:spacing w:after="0" w:line="240" w:lineRule="auto"/>
        <w:jc w:val="both"/>
        <w:textAlignment w:val="baseline"/>
        <w:rPr>
          <w:rFonts w:ascii="Segoe UI" w:eastAsia="Times New Roman" w:hAnsi="Segoe UI" w:cs="Segoe UI"/>
          <w:kern w:val="0"/>
          <w:sz w:val="18"/>
          <w:szCs w:val="18"/>
          <w:lang w:eastAsia="cs-CZ"/>
          <w14:ligatures w14:val="none"/>
        </w:rPr>
      </w:pPr>
      <w:r w:rsidRPr="0032731C">
        <w:rPr>
          <w:rFonts w:ascii="Times New Roman" w:eastAsia="Times New Roman" w:hAnsi="Times New Roman" w:cs="Times New Roman"/>
          <w:kern w:val="0"/>
          <w:lang w:eastAsia="cs-CZ"/>
          <w14:ligatures w14:val="none"/>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2543"/>
      </w:tblGrid>
      <w:tr w:rsidR="00182F41" w:rsidRPr="0032731C" w14:paraId="69B25A0A" w14:textId="7345B4DA" w:rsidTr="00E10ECA">
        <w:trPr>
          <w:trHeight w:val="285"/>
        </w:trPr>
        <w:tc>
          <w:tcPr>
            <w:tcW w:w="9056" w:type="dxa"/>
            <w:gridSpan w:val="2"/>
            <w:tcBorders>
              <w:top w:val="single" w:sz="6" w:space="0" w:color="00000A"/>
              <w:left w:val="single" w:sz="6" w:space="0" w:color="00000A"/>
              <w:bottom w:val="single" w:sz="6" w:space="0" w:color="00000A"/>
              <w:right w:val="single" w:sz="6" w:space="0" w:color="00000A"/>
            </w:tcBorders>
            <w:shd w:val="clear" w:color="auto" w:fill="D9D9D9"/>
            <w:vAlign w:val="center"/>
            <w:hideMark/>
          </w:tcPr>
          <w:p w14:paraId="54381790" w14:textId="7F12D09F" w:rsidR="00182F41" w:rsidRPr="0032731C" w:rsidRDefault="00182F41" w:rsidP="0032731C">
            <w:pPr>
              <w:spacing w:after="0" w:line="240" w:lineRule="auto"/>
              <w:jc w:val="both"/>
              <w:textAlignment w:val="baseline"/>
              <w:rPr>
                <w:rFonts w:ascii="Times New Roman" w:eastAsia="Times New Roman" w:hAnsi="Times New Roman" w:cs="Times New Roman"/>
                <w:kern w:val="0"/>
                <w:lang w:eastAsia="cs-CZ"/>
                <w14:ligatures w14:val="none"/>
              </w:rPr>
            </w:pPr>
            <w:r w:rsidRPr="0032731C">
              <w:rPr>
                <w:rFonts w:ascii="Times New Roman" w:eastAsia="Times New Roman" w:hAnsi="Times New Roman" w:cs="Times New Roman"/>
                <w:kern w:val="0"/>
                <w:lang w:eastAsia="cs-CZ"/>
                <w14:ligatures w14:val="none"/>
              </w:rPr>
              <w:t>Název poptávaného zboží </w:t>
            </w:r>
          </w:p>
        </w:tc>
      </w:tr>
      <w:tr w:rsidR="00182F41" w:rsidRPr="0032731C" w14:paraId="63A388FC" w14:textId="06ECDFA2" w:rsidTr="00D15BFC">
        <w:trPr>
          <w:trHeight w:val="285"/>
        </w:trPr>
        <w:tc>
          <w:tcPr>
            <w:tcW w:w="9056" w:type="dxa"/>
            <w:gridSpan w:val="2"/>
            <w:tcBorders>
              <w:top w:val="single" w:sz="6" w:space="0" w:color="00000A"/>
              <w:left w:val="single" w:sz="6" w:space="0" w:color="00000A"/>
              <w:bottom w:val="single" w:sz="6" w:space="0" w:color="00000A"/>
              <w:right w:val="single" w:sz="6" w:space="0" w:color="00000A"/>
            </w:tcBorders>
            <w:hideMark/>
          </w:tcPr>
          <w:p w14:paraId="484C080B" w14:textId="51E6B7C0" w:rsidR="00182F41" w:rsidRPr="00236ABA" w:rsidRDefault="00ED2AD4" w:rsidP="0032731C">
            <w:pPr>
              <w:spacing w:after="0" w:line="240" w:lineRule="auto"/>
              <w:jc w:val="both"/>
              <w:textAlignment w:val="baseline"/>
              <w:rPr>
                <w:rFonts w:ascii="Times New Roman" w:eastAsia="Times New Roman" w:hAnsi="Times New Roman" w:cs="Times New Roman"/>
                <w:b/>
                <w:bCs/>
                <w:kern w:val="0"/>
                <w:lang w:eastAsia="cs-CZ"/>
                <w14:ligatures w14:val="none"/>
              </w:rPr>
            </w:pPr>
            <w:r>
              <w:rPr>
                <w:rFonts w:ascii="Times New Roman" w:eastAsia="Times New Roman" w:hAnsi="Times New Roman" w:cs="Times New Roman"/>
                <w:b/>
                <w:bCs/>
                <w:kern w:val="0"/>
                <w:lang w:eastAsia="cs-CZ"/>
                <w14:ligatures w14:val="none"/>
              </w:rPr>
              <w:t>CO</w:t>
            </w:r>
            <w:r w:rsidRPr="00ED2AD4">
              <w:rPr>
                <w:rFonts w:ascii="Times New Roman" w:eastAsia="Times New Roman" w:hAnsi="Times New Roman" w:cs="Times New Roman"/>
                <w:b/>
                <w:bCs/>
                <w:kern w:val="0"/>
                <w:vertAlign w:val="subscript"/>
                <w:lang w:eastAsia="cs-CZ"/>
                <w14:ligatures w14:val="none"/>
              </w:rPr>
              <w:t>2</w:t>
            </w:r>
            <w:r>
              <w:rPr>
                <w:rFonts w:ascii="Times New Roman" w:eastAsia="Times New Roman" w:hAnsi="Times New Roman" w:cs="Times New Roman"/>
                <w:b/>
                <w:bCs/>
                <w:kern w:val="0"/>
                <w:lang w:eastAsia="cs-CZ"/>
                <w14:ligatures w14:val="none"/>
              </w:rPr>
              <w:t xml:space="preserve"> inkubátor pro kultivaci buněčných linií</w:t>
            </w:r>
          </w:p>
        </w:tc>
      </w:tr>
      <w:tr w:rsidR="00182F41" w:rsidRPr="0032731C" w14:paraId="70E4DE40" w14:textId="27DD5EB2" w:rsidTr="00182F41">
        <w:trPr>
          <w:trHeight w:val="285"/>
        </w:trPr>
        <w:tc>
          <w:tcPr>
            <w:tcW w:w="6513" w:type="dxa"/>
            <w:tcBorders>
              <w:top w:val="single" w:sz="6" w:space="0" w:color="00000A"/>
              <w:left w:val="single" w:sz="6" w:space="0" w:color="00000A"/>
              <w:bottom w:val="single" w:sz="6" w:space="0" w:color="00000A"/>
              <w:right w:val="single" w:sz="6" w:space="0" w:color="00000A"/>
            </w:tcBorders>
            <w:shd w:val="clear" w:color="auto" w:fill="D9D9D9"/>
            <w:vAlign w:val="center"/>
            <w:hideMark/>
          </w:tcPr>
          <w:p w14:paraId="13CB14AD" w14:textId="77777777" w:rsidR="00182F41" w:rsidRPr="0032731C" w:rsidRDefault="00182F41" w:rsidP="0032731C">
            <w:pPr>
              <w:spacing w:after="0" w:line="240" w:lineRule="auto"/>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b/>
                <w:bCs/>
                <w:kern w:val="0"/>
                <w:lang w:eastAsia="cs-CZ"/>
                <w14:ligatures w14:val="none"/>
              </w:rPr>
              <w:t>Popis poptávaného zboží – Základní vlastnosti – Minimální požadavky</w:t>
            </w:r>
            <w:r w:rsidRPr="0032731C">
              <w:rPr>
                <w:rFonts w:ascii="Times New Roman" w:eastAsia="Times New Roman" w:hAnsi="Times New Roman" w:cs="Times New Roman"/>
                <w:kern w:val="0"/>
                <w:lang w:eastAsia="cs-CZ"/>
                <w14:ligatures w14:val="none"/>
              </w:rPr>
              <w:t> </w:t>
            </w:r>
          </w:p>
        </w:tc>
        <w:tc>
          <w:tcPr>
            <w:tcW w:w="2543" w:type="dxa"/>
            <w:tcBorders>
              <w:top w:val="single" w:sz="6" w:space="0" w:color="00000A"/>
              <w:left w:val="single" w:sz="6" w:space="0" w:color="00000A"/>
              <w:bottom w:val="single" w:sz="6" w:space="0" w:color="00000A"/>
              <w:right w:val="single" w:sz="6" w:space="0" w:color="00000A"/>
            </w:tcBorders>
            <w:shd w:val="clear" w:color="auto" w:fill="D9D9D9"/>
          </w:tcPr>
          <w:p w14:paraId="5B042620" w14:textId="77777777" w:rsidR="00182F41" w:rsidRDefault="00182F41" w:rsidP="0032731C">
            <w:pPr>
              <w:spacing w:after="0" w:line="240" w:lineRule="auto"/>
              <w:textAlignment w:val="baseline"/>
              <w:rPr>
                <w:rFonts w:ascii="Times New Roman" w:eastAsia="Times New Roman" w:hAnsi="Times New Roman" w:cs="Times New Roman"/>
                <w:b/>
                <w:bCs/>
                <w:kern w:val="0"/>
                <w:lang w:eastAsia="cs-CZ"/>
                <w14:ligatures w14:val="none"/>
              </w:rPr>
            </w:pPr>
            <w:r>
              <w:rPr>
                <w:rFonts w:ascii="Times New Roman" w:eastAsia="Times New Roman" w:hAnsi="Times New Roman" w:cs="Times New Roman"/>
                <w:b/>
                <w:bCs/>
                <w:kern w:val="0"/>
                <w:lang w:eastAsia="cs-CZ"/>
                <w14:ligatures w14:val="none"/>
              </w:rPr>
              <w:t>Dodavatel splňuje / nesplňuje</w:t>
            </w:r>
          </w:p>
          <w:p w14:paraId="58FCADCB" w14:textId="77777777" w:rsidR="00182F41" w:rsidRDefault="00182F41" w:rsidP="0032731C">
            <w:pPr>
              <w:spacing w:after="0" w:line="240" w:lineRule="auto"/>
              <w:textAlignment w:val="baseline"/>
              <w:rPr>
                <w:rFonts w:ascii="Times New Roman" w:eastAsia="Times New Roman" w:hAnsi="Times New Roman" w:cs="Times New Roman"/>
                <w:b/>
                <w:bCs/>
                <w:kern w:val="0"/>
                <w:lang w:eastAsia="cs-CZ"/>
                <w14:ligatures w14:val="none"/>
              </w:rPr>
            </w:pPr>
          </w:p>
          <w:p w14:paraId="28312E1F" w14:textId="7F3B5767" w:rsidR="00182F41" w:rsidRDefault="00182F41" w:rsidP="0032731C">
            <w:pPr>
              <w:spacing w:after="0" w:line="240" w:lineRule="auto"/>
              <w:textAlignment w:val="baseline"/>
              <w:rPr>
                <w:rFonts w:ascii="Times New Roman" w:eastAsia="Times New Roman" w:hAnsi="Times New Roman" w:cs="Times New Roman"/>
                <w:b/>
                <w:bCs/>
                <w:kern w:val="0"/>
                <w:lang w:eastAsia="cs-CZ"/>
                <w14:ligatures w14:val="none"/>
              </w:rPr>
            </w:pPr>
            <w:r>
              <w:rPr>
                <w:rFonts w:ascii="Times New Roman" w:eastAsia="Times New Roman" w:hAnsi="Times New Roman" w:cs="Times New Roman"/>
                <w:b/>
                <w:bCs/>
                <w:kern w:val="0"/>
                <w:lang w:eastAsia="cs-CZ"/>
                <w14:ligatures w14:val="none"/>
              </w:rPr>
              <w:t xml:space="preserve">Dopsat </w:t>
            </w:r>
            <w:r w:rsidRPr="00C322E7">
              <w:rPr>
                <w:rFonts w:ascii="Times New Roman" w:eastAsia="Times New Roman" w:hAnsi="Times New Roman" w:cs="Times New Roman"/>
                <w:b/>
                <w:bCs/>
                <w:kern w:val="0"/>
                <w:highlight w:val="yellow"/>
                <w:lang w:eastAsia="cs-CZ"/>
                <w14:ligatures w14:val="none"/>
              </w:rPr>
              <w:t>ANO / NE</w:t>
            </w:r>
          </w:p>
          <w:p w14:paraId="72869E30" w14:textId="2274431D" w:rsidR="00182F41" w:rsidRPr="0032731C" w:rsidRDefault="00182F41" w:rsidP="0032731C">
            <w:pPr>
              <w:spacing w:after="0" w:line="240" w:lineRule="auto"/>
              <w:textAlignment w:val="baseline"/>
              <w:rPr>
                <w:rFonts w:ascii="Times New Roman" w:eastAsia="Times New Roman" w:hAnsi="Times New Roman" w:cs="Times New Roman"/>
                <w:b/>
                <w:bCs/>
                <w:kern w:val="0"/>
                <w:lang w:eastAsia="cs-CZ"/>
                <w14:ligatures w14:val="none"/>
              </w:rPr>
            </w:pPr>
          </w:p>
        </w:tc>
      </w:tr>
      <w:tr w:rsidR="00182F41" w:rsidRPr="0032731C" w14:paraId="03DFCF37" w14:textId="316F9B3D" w:rsidTr="00236ABA">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574B6EA0" w14:textId="150ACDA8" w:rsidR="00182F41" w:rsidRPr="00BC2708" w:rsidRDefault="003C5BF4" w:rsidP="000D18B8">
            <w:pPr>
              <w:spacing w:after="0" w:line="240" w:lineRule="auto"/>
              <w:textAlignment w:val="baseline"/>
              <w:rPr>
                <w:rFonts w:ascii="Times New Roman" w:eastAsia="Times New Roman" w:hAnsi="Times New Roman" w:cs="Times New Roman"/>
                <w:kern w:val="0"/>
                <w:sz w:val="24"/>
                <w:szCs w:val="24"/>
                <w:lang w:eastAsia="cs-CZ"/>
                <w14:ligatures w14:val="none"/>
              </w:rPr>
            </w:pPr>
            <w:bookmarkStart w:id="0" w:name="_Hlk202433524"/>
            <w:r>
              <w:rPr>
                <w:rFonts w:ascii="Times New Roman" w:eastAsia="Times New Roman" w:hAnsi="Times New Roman" w:cs="Times New Roman"/>
                <w:kern w:val="0"/>
                <w:sz w:val="24"/>
                <w:szCs w:val="24"/>
                <w:lang w:eastAsia="cs-CZ"/>
                <w14:ligatures w14:val="none"/>
              </w:rPr>
              <w:t>Požadavek na dodávku 2 kusů inkubátorů</w:t>
            </w:r>
          </w:p>
        </w:tc>
        <w:tc>
          <w:tcPr>
            <w:tcW w:w="2543" w:type="dxa"/>
            <w:tcBorders>
              <w:top w:val="single" w:sz="6" w:space="0" w:color="00000A"/>
              <w:left w:val="single" w:sz="6" w:space="0" w:color="00000A"/>
              <w:bottom w:val="single" w:sz="6" w:space="0" w:color="00000A"/>
              <w:right w:val="single" w:sz="6" w:space="0" w:color="00000A"/>
            </w:tcBorders>
          </w:tcPr>
          <w:p w14:paraId="21A33A1F" w14:textId="77777777" w:rsidR="00182F41" w:rsidRPr="0032731C" w:rsidRDefault="00182F41" w:rsidP="0032731C">
            <w:pPr>
              <w:spacing w:after="0" w:line="240" w:lineRule="auto"/>
              <w:textAlignment w:val="baseline"/>
              <w:rPr>
                <w:rFonts w:ascii="Times New Roman" w:eastAsia="Times New Roman" w:hAnsi="Times New Roman" w:cs="Times New Roman"/>
                <w:kern w:val="0"/>
                <w:sz w:val="24"/>
                <w:szCs w:val="24"/>
                <w:lang w:eastAsia="cs-CZ"/>
                <w14:ligatures w14:val="none"/>
              </w:rPr>
            </w:pPr>
          </w:p>
        </w:tc>
      </w:tr>
      <w:bookmarkEnd w:id="0"/>
      <w:tr w:rsidR="003C5BF4" w:rsidRPr="0032731C" w14:paraId="13451780" w14:textId="77777777" w:rsidTr="00236ABA">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48050938" w14:textId="1FF9CC9B"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Inkubátor pro růst buněčných kultur v regulované řízené atmosféře (CO</w:t>
            </w:r>
            <w:r w:rsidRPr="00C150FA">
              <w:rPr>
                <w:rFonts w:ascii="Times New Roman" w:eastAsia="Times New Roman" w:hAnsi="Times New Roman" w:cs="Times New Roman"/>
                <w:kern w:val="0"/>
                <w:sz w:val="24"/>
                <w:szCs w:val="24"/>
                <w:vertAlign w:val="subscript"/>
                <w:lang w:eastAsia="cs-CZ"/>
                <w14:ligatures w14:val="none"/>
              </w:rPr>
              <w:t>2</w:t>
            </w:r>
            <w:r>
              <w:rPr>
                <w:rFonts w:ascii="Times New Roman" w:eastAsia="Times New Roman" w:hAnsi="Times New Roman" w:cs="Times New Roman"/>
                <w:kern w:val="0"/>
                <w:sz w:val="24"/>
                <w:szCs w:val="24"/>
                <w:lang w:eastAsia="cs-CZ"/>
                <w14:ligatures w14:val="none"/>
              </w:rPr>
              <w:t>, vysoká vlhkost a teplota).</w:t>
            </w:r>
          </w:p>
        </w:tc>
        <w:tc>
          <w:tcPr>
            <w:tcW w:w="2543" w:type="dxa"/>
            <w:tcBorders>
              <w:top w:val="single" w:sz="6" w:space="0" w:color="00000A"/>
              <w:left w:val="single" w:sz="6" w:space="0" w:color="00000A"/>
              <w:bottom w:val="single" w:sz="6" w:space="0" w:color="00000A"/>
              <w:right w:val="single" w:sz="6" w:space="0" w:color="00000A"/>
            </w:tcBorders>
          </w:tcPr>
          <w:p w14:paraId="043F8104"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3E303A1A" w14:textId="77777777" w:rsidTr="00236ABA">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0C22D000" w14:textId="4D2B0CEE"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Objem prostoru inkubátoru 160 ± 10 litrů.</w:t>
            </w:r>
          </w:p>
        </w:tc>
        <w:tc>
          <w:tcPr>
            <w:tcW w:w="2543" w:type="dxa"/>
            <w:tcBorders>
              <w:top w:val="single" w:sz="6" w:space="0" w:color="00000A"/>
              <w:left w:val="single" w:sz="6" w:space="0" w:color="00000A"/>
              <w:bottom w:val="single" w:sz="6" w:space="0" w:color="00000A"/>
              <w:right w:val="single" w:sz="6" w:space="0" w:color="00000A"/>
            </w:tcBorders>
          </w:tcPr>
          <w:p w14:paraId="2E9250BD"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4691E1BC" w14:textId="77777777" w:rsidTr="00236ABA">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0B3982A4" w14:textId="783C70A6"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Regulace CO</w:t>
            </w:r>
            <w:r w:rsidRPr="00DC5C76">
              <w:rPr>
                <w:rFonts w:ascii="Times New Roman" w:eastAsia="Times New Roman" w:hAnsi="Times New Roman" w:cs="Times New Roman"/>
                <w:kern w:val="0"/>
                <w:sz w:val="24"/>
                <w:szCs w:val="24"/>
                <w:vertAlign w:val="subscript"/>
                <w:lang w:eastAsia="cs-CZ"/>
                <w14:ligatures w14:val="none"/>
              </w:rPr>
              <w:t>2</w:t>
            </w:r>
            <w:r>
              <w:rPr>
                <w:rFonts w:ascii="Times New Roman" w:eastAsia="Times New Roman" w:hAnsi="Times New Roman" w:cs="Times New Roman"/>
                <w:kern w:val="0"/>
                <w:sz w:val="24"/>
                <w:szCs w:val="24"/>
                <w:lang w:eastAsia="cs-CZ"/>
                <w14:ligatures w14:val="none"/>
              </w:rPr>
              <w:t xml:space="preserve"> v rozmezí 0 až 20 % (přesnost nastavení 0,1 %).</w:t>
            </w:r>
          </w:p>
        </w:tc>
        <w:tc>
          <w:tcPr>
            <w:tcW w:w="2543" w:type="dxa"/>
            <w:tcBorders>
              <w:top w:val="single" w:sz="6" w:space="0" w:color="00000A"/>
              <w:left w:val="single" w:sz="6" w:space="0" w:color="00000A"/>
              <w:bottom w:val="single" w:sz="6" w:space="0" w:color="00000A"/>
              <w:right w:val="single" w:sz="6" w:space="0" w:color="00000A"/>
            </w:tcBorders>
          </w:tcPr>
          <w:p w14:paraId="38559715"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0987C172" w14:textId="77777777" w:rsidTr="00236ABA">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072AA64E" w14:textId="74712B34"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Zvuková a vizuální signalizace, pokud teplota či CO</w:t>
            </w:r>
            <w:r w:rsidRPr="00DC5C76">
              <w:rPr>
                <w:rFonts w:ascii="Times New Roman" w:eastAsia="Times New Roman" w:hAnsi="Times New Roman" w:cs="Times New Roman"/>
                <w:kern w:val="0"/>
                <w:sz w:val="24"/>
                <w:szCs w:val="24"/>
                <w:vertAlign w:val="subscript"/>
                <w:lang w:eastAsia="cs-CZ"/>
                <w14:ligatures w14:val="none"/>
              </w:rPr>
              <w:t>2</w:t>
            </w:r>
            <w:r>
              <w:rPr>
                <w:rFonts w:ascii="Times New Roman" w:eastAsia="Times New Roman" w:hAnsi="Times New Roman" w:cs="Times New Roman"/>
                <w:kern w:val="0"/>
                <w:sz w:val="24"/>
                <w:szCs w:val="24"/>
                <w:lang w:eastAsia="cs-CZ"/>
                <w14:ligatures w14:val="none"/>
              </w:rPr>
              <w:t xml:space="preserve"> není na nastavené hodnotě.</w:t>
            </w:r>
          </w:p>
        </w:tc>
        <w:tc>
          <w:tcPr>
            <w:tcW w:w="2543" w:type="dxa"/>
            <w:tcBorders>
              <w:top w:val="single" w:sz="6" w:space="0" w:color="00000A"/>
              <w:left w:val="single" w:sz="6" w:space="0" w:color="00000A"/>
              <w:bottom w:val="single" w:sz="6" w:space="0" w:color="00000A"/>
              <w:right w:val="single" w:sz="6" w:space="0" w:color="00000A"/>
            </w:tcBorders>
          </w:tcPr>
          <w:p w14:paraId="0A3AB6E9"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28CDF0F1" w14:textId="77777777" w:rsidTr="00236ABA">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1E76BCB2" w14:textId="2563F1CB"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Automatická kalibrace teploty a hladiny CO</w:t>
            </w:r>
            <w:r w:rsidRPr="00C150FA">
              <w:rPr>
                <w:rFonts w:ascii="Times New Roman" w:eastAsia="Times New Roman" w:hAnsi="Times New Roman" w:cs="Times New Roman"/>
                <w:kern w:val="0"/>
                <w:sz w:val="24"/>
                <w:szCs w:val="24"/>
                <w:vertAlign w:val="subscript"/>
                <w:lang w:eastAsia="cs-CZ"/>
                <w14:ligatures w14:val="none"/>
              </w:rPr>
              <w:t>2</w:t>
            </w:r>
            <w:r>
              <w:rPr>
                <w:rFonts w:ascii="Times New Roman" w:eastAsia="Times New Roman" w:hAnsi="Times New Roman" w:cs="Times New Roman"/>
                <w:kern w:val="0"/>
                <w:sz w:val="24"/>
                <w:szCs w:val="24"/>
                <w:vertAlign w:val="subscript"/>
                <w:lang w:eastAsia="cs-CZ"/>
                <w14:ligatures w14:val="none"/>
              </w:rPr>
              <w:t>.</w:t>
            </w:r>
          </w:p>
        </w:tc>
        <w:tc>
          <w:tcPr>
            <w:tcW w:w="2543" w:type="dxa"/>
            <w:tcBorders>
              <w:top w:val="single" w:sz="6" w:space="0" w:color="00000A"/>
              <w:left w:val="single" w:sz="6" w:space="0" w:color="00000A"/>
              <w:bottom w:val="single" w:sz="6" w:space="0" w:color="00000A"/>
              <w:right w:val="single" w:sz="6" w:space="0" w:color="00000A"/>
            </w:tcBorders>
          </w:tcPr>
          <w:p w14:paraId="4C31AD30"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7DA76768"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39A64DB9" w14:textId="12695515" w:rsidR="003C5BF4" w:rsidRPr="00236ABA"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Bezúdržbový duální infračervený CO</w:t>
            </w:r>
            <w:r w:rsidRPr="00B87677">
              <w:rPr>
                <w:rFonts w:ascii="Times New Roman" w:eastAsia="Times New Roman" w:hAnsi="Times New Roman" w:cs="Times New Roman"/>
                <w:kern w:val="0"/>
                <w:sz w:val="24"/>
                <w:szCs w:val="24"/>
                <w:vertAlign w:val="subscript"/>
                <w:lang w:eastAsia="cs-CZ"/>
                <w14:ligatures w14:val="none"/>
              </w:rPr>
              <w:t>2</w:t>
            </w:r>
            <w:r>
              <w:rPr>
                <w:rFonts w:ascii="Times New Roman" w:eastAsia="Times New Roman" w:hAnsi="Times New Roman" w:cs="Times New Roman"/>
                <w:kern w:val="0"/>
                <w:sz w:val="24"/>
                <w:szCs w:val="24"/>
                <w:lang w:eastAsia="cs-CZ"/>
                <w14:ligatures w14:val="none"/>
              </w:rPr>
              <w:t xml:space="preserve"> sensor.</w:t>
            </w:r>
          </w:p>
        </w:tc>
        <w:tc>
          <w:tcPr>
            <w:tcW w:w="2543" w:type="dxa"/>
            <w:tcBorders>
              <w:top w:val="single" w:sz="6" w:space="0" w:color="00000A"/>
              <w:left w:val="single" w:sz="6" w:space="0" w:color="00000A"/>
              <w:bottom w:val="single" w:sz="6" w:space="0" w:color="00000A"/>
              <w:right w:val="single" w:sz="6" w:space="0" w:color="00000A"/>
            </w:tcBorders>
          </w:tcPr>
          <w:p w14:paraId="3C0096D6"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7B02D5B5"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65B35D15" w14:textId="7465E46C"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Ohřev stěn, dna a dveří inkubátoru. </w:t>
            </w:r>
          </w:p>
        </w:tc>
        <w:tc>
          <w:tcPr>
            <w:tcW w:w="2543" w:type="dxa"/>
            <w:tcBorders>
              <w:top w:val="single" w:sz="6" w:space="0" w:color="00000A"/>
              <w:left w:val="single" w:sz="6" w:space="0" w:color="00000A"/>
              <w:bottom w:val="single" w:sz="6" w:space="0" w:color="00000A"/>
              <w:right w:val="single" w:sz="6" w:space="0" w:color="00000A"/>
            </w:tcBorders>
          </w:tcPr>
          <w:p w14:paraId="2D06DAC0"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6EC91DAC"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39D8B506" w14:textId="6BDE6503"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Nezávislá regulace ohřevu dveří pro zamezení rosení, a tedy i rizika růstu kontaminace.</w:t>
            </w:r>
          </w:p>
        </w:tc>
        <w:tc>
          <w:tcPr>
            <w:tcW w:w="2543" w:type="dxa"/>
            <w:tcBorders>
              <w:top w:val="single" w:sz="6" w:space="0" w:color="00000A"/>
              <w:left w:val="single" w:sz="6" w:space="0" w:color="00000A"/>
              <w:bottom w:val="single" w:sz="6" w:space="0" w:color="00000A"/>
              <w:right w:val="single" w:sz="6" w:space="0" w:color="00000A"/>
            </w:tcBorders>
          </w:tcPr>
          <w:p w14:paraId="49A58AC2"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17329AF1"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68B4F55F" w14:textId="5B747C4E" w:rsidR="003C5BF4" w:rsidRPr="00236ABA"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Vnitřní části ze slitiny mědi a nerezu potlačující růst mikroorganismů. Oblé rohy pro snadné čištění.</w:t>
            </w:r>
          </w:p>
        </w:tc>
        <w:tc>
          <w:tcPr>
            <w:tcW w:w="2543" w:type="dxa"/>
            <w:tcBorders>
              <w:top w:val="single" w:sz="6" w:space="0" w:color="00000A"/>
              <w:left w:val="single" w:sz="6" w:space="0" w:color="00000A"/>
              <w:bottom w:val="single" w:sz="6" w:space="0" w:color="00000A"/>
              <w:right w:val="single" w:sz="6" w:space="0" w:color="00000A"/>
            </w:tcBorders>
          </w:tcPr>
          <w:p w14:paraId="01363241"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0896EF54"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617A1552" w14:textId="40E083C4" w:rsidR="003C5BF4" w:rsidRPr="00236ABA"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Horkovzdušná sterilizace vnitřních prostor min 180°C.</w:t>
            </w:r>
          </w:p>
        </w:tc>
        <w:tc>
          <w:tcPr>
            <w:tcW w:w="2543" w:type="dxa"/>
            <w:tcBorders>
              <w:top w:val="single" w:sz="6" w:space="0" w:color="00000A"/>
              <w:left w:val="single" w:sz="6" w:space="0" w:color="00000A"/>
              <w:bottom w:val="single" w:sz="6" w:space="0" w:color="00000A"/>
              <w:right w:val="single" w:sz="6" w:space="0" w:color="00000A"/>
            </w:tcBorders>
          </w:tcPr>
          <w:p w14:paraId="2390E466"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670A74CE"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22D90C17" w14:textId="08855E28" w:rsidR="003C5BF4" w:rsidRPr="00236ABA"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Rezervoár vody pro zvlhčení vnitřní atmosféry je sterilizován pomocí UV záření (LED zdroj) pro zamezení růstu kontaminace ve vodním rezervoáru. Rezervoár je stíněn od prostor pro buněčné kultury, aby nemohlo dojít k ozáření kultur nebo personálu UV zářením. Možnost nastavení intervalu spuštění UV sterilizace rezervoáru od uzavření dveří až na 30 min.</w:t>
            </w:r>
          </w:p>
        </w:tc>
        <w:tc>
          <w:tcPr>
            <w:tcW w:w="2543" w:type="dxa"/>
            <w:tcBorders>
              <w:top w:val="single" w:sz="6" w:space="0" w:color="00000A"/>
              <w:left w:val="single" w:sz="6" w:space="0" w:color="00000A"/>
              <w:bottom w:val="single" w:sz="6" w:space="0" w:color="00000A"/>
              <w:right w:val="single" w:sz="6" w:space="0" w:color="00000A"/>
            </w:tcBorders>
          </w:tcPr>
          <w:p w14:paraId="7BB19768"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74D3423F"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329F2565" w14:textId="1C711B0A"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Čidlo pro sledování hladiny vody v rezervoáru. Při nízké hladině vody dojde ke spuštění zvukové a vizuální signalizace nutnosti doplnění vody.</w:t>
            </w:r>
          </w:p>
        </w:tc>
        <w:tc>
          <w:tcPr>
            <w:tcW w:w="2543" w:type="dxa"/>
            <w:tcBorders>
              <w:top w:val="single" w:sz="6" w:space="0" w:color="00000A"/>
              <w:left w:val="single" w:sz="6" w:space="0" w:color="00000A"/>
              <w:bottom w:val="single" w:sz="6" w:space="0" w:color="00000A"/>
              <w:right w:val="single" w:sz="6" w:space="0" w:color="00000A"/>
            </w:tcBorders>
          </w:tcPr>
          <w:p w14:paraId="1E6A733A"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78270C78"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6BE21604" w14:textId="7B29B4DE"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Nezávislá regulace ohřevu dna inkubátoru pro udržování vysoké vlhkosti atmosféry (kolem 95 %).</w:t>
            </w:r>
          </w:p>
        </w:tc>
        <w:tc>
          <w:tcPr>
            <w:tcW w:w="2543" w:type="dxa"/>
            <w:tcBorders>
              <w:top w:val="single" w:sz="6" w:space="0" w:color="00000A"/>
              <w:left w:val="single" w:sz="6" w:space="0" w:color="00000A"/>
              <w:bottom w:val="single" w:sz="6" w:space="0" w:color="00000A"/>
              <w:right w:val="single" w:sz="6" w:space="0" w:color="00000A"/>
            </w:tcBorders>
          </w:tcPr>
          <w:p w14:paraId="5B737A48"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5A335392"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731A4459" w14:textId="088E641B"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Vnitřní prostor inkubátoru obsahuje minimálně 4 police pro buněčné kultury. Výšku polic lze měnit.</w:t>
            </w:r>
          </w:p>
        </w:tc>
        <w:tc>
          <w:tcPr>
            <w:tcW w:w="2543" w:type="dxa"/>
            <w:tcBorders>
              <w:top w:val="single" w:sz="6" w:space="0" w:color="00000A"/>
              <w:left w:val="single" w:sz="6" w:space="0" w:color="00000A"/>
              <w:bottom w:val="single" w:sz="6" w:space="0" w:color="00000A"/>
              <w:right w:val="single" w:sz="6" w:space="0" w:color="00000A"/>
            </w:tcBorders>
          </w:tcPr>
          <w:p w14:paraId="51BCFC99"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0BE474F9"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3830BA52" w14:textId="092913A1"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lastRenderedPageBreak/>
              <w:t>Vnější rozměry inkubátoru jsou maximálně 100×65×75 cm (V×Š×H). Inkubátor půjde postavit na současný přístroj, jehož plocha je 62×71 cm (Š×H).</w:t>
            </w:r>
          </w:p>
        </w:tc>
        <w:tc>
          <w:tcPr>
            <w:tcW w:w="2543" w:type="dxa"/>
            <w:tcBorders>
              <w:top w:val="single" w:sz="6" w:space="0" w:color="00000A"/>
              <w:left w:val="single" w:sz="6" w:space="0" w:color="00000A"/>
              <w:bottom w:val="single" w:sz="6" w:space="0" w:color="00000A"/>
              <w:right w:val="single" w:sz="6" w:space="0" w:color="00000A"/>
            </w:tcBorders>
          </w:tcPr>
          <w:p w14:paraId="4068B494"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26747D0B"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4B890774" w14:textId="0B2E60E2" w:rsidR="003C5BF4" w:rsidRPr="00236ABA"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Možnost stohování inkubátoru. Buď 1) inkubátor lze postavit na jiný inkubátor, nebo 2) na inkubátor lze postavit jiný obdobný přístroje.</w:t>
            </w:r>
          </w:p>
        </w:tc>
        <w:tc>
          <w:tcPr>
            <w:tcW w:w="2543" w:type="dxa"/>
            <w:tcBorders>
              <w:top w:val="single" w:sz="6" w:space="0" w:color="00000A"/>
              <w:left w:val="single" w:sz="6" w:space="0" w:color="00000A"/>
              <w:bottom w:val="single" w:sz="6" w:space="0" w:color="00000A"/>
              <w:right w:val="single" w:sz="6" w:space="0" w:color="00000A"/>
            </w:tcBorders>
          </w:tcPr>
          <w:p w14:paraId="62EFD969"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1EFD3488"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7702071B" w14:textId="388C133C" w:rsidR="003C5BF4"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Součástí dodávky je doprava, nastěhování, instalace a zprovoznění přístroje a zaškolení obsluhy.</w:t>
            </w:r>
          </w:p>
        </w:tc>
        <w:tc>
          <w:tcPr>
            <w:tcW w:w="2543" w:type="dxa"/>
            <w:tcBorders>
              <w:top w:val="single" w:sz="6" w:space="0" w:color="00000A"/>
              <w:left w:val="single" w:sz="6" w:space="0" w:color="00000A"/>
              <w:bottom w:val="single" w:sz="6" w:space="0" w:color="00000A"/>
              <w:right w:val="single" w:sz="6" w:space="0" w:color="00000A"/>
            </w:tcBorders>
          </w:tcPr>
          <w:p w14:paraId="23D78B06"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4E318B75" w14:textId="77777777" w:rsidTr="00182F41">
        <w:trPr>
          <w:trHeight w:val="285"/>
        </w:trPr>
        <w:tc>
          <w:tcPr>
            <w:tcW w:w="6513" w:type="dxa"/>
            <w:tcBorders>
              <w:top w:val="single" w:sz="6" w:space="0" w:color="00000A"/>
              <w:left w:val="single" w:sz="6" w:space="0" w:color="00000A"/>
              <w:bottom w:val="single" w:sz="6" w:space="0" w:color="00000A"/>
              <w:right w:val="single" w:sz="6" w:space="0" w:color="00000A"/>
            </w:tcBorders>
            <w:vAlign w:val="center"/>
          </w:tcPr>
          <w:p w14:paraId="0770EE1F" w14:textId="19888658" w:rsidR="003C5BF4" w:rsidRPr="00182F41" w:rsidRDefault="003C5BF4" w:rsidP="003C5BF4">
            <w:pPr>
              <w:spacing w:after="0" w:line="240" w:lineRule="auto"/>
              <w:textAlignment w:val="baseline"/>
              <w:rPr>
                <w:rFonts w:ascii="Times New Roman" w:eastAsia="Times New Roman" w:hAnsi="Times New Roman" w:cs="Times New Roman"/>
                <w:kern w:val="0"/>
                <w:sz w:val="24"/>
                <w:szCs w:val="24"/>
                <w:highlight w:val="yellow"/>
                <w:lang w:eastAsia="cs-CZ"/>
                <w14:ligatures w14:val="none"/>
              </w:rPr>
            </w:pPr>
            <w:r w:rsidRPr="00236ABA">
              <w:rPr>
                <w:rFonts w:ascii="Times New Roman" w:eastAsia="Times New Roman" w:hAnsi="Times New Roman" w:cs="Times New Roman"/>
                <w:kern w:val="0"/>
                <w:sz w:val="24"/>
                <w:szCs w:val="24"/>
                <w:lang w:eastAsia="cs-CZ"/>
                <w14:ligatures w14:val="none"/>
              </w:rPr>
              <w:t>Servisní pokrytí do 48 h</w:t>
            </w:r>
            <w:r>
              <w:rPr>
                <w:rFonts w:ascii="Times New Roman" w:eastAsia="Times New Roman" w:hAnsi="Times New Roman" w:cs="Times New Roman"/>
                <w:kern w:val="0"/>
                <w:sz w:val="24"/>
                <w:szCs w:val="24"/>
                <w:lang w:eastAsia="cs-CZ"/>
                <w14:ligatures w14:val="none"/>
              </w:rPr>
              <w:t xml:space="preserve"> v záruční době.</w:t>
            </w:r>
          </w:p>
        </w:tc>
        <w:tc>
          <w:tcPr>
            <w:tcW w:w="2543" w:type="dxa"/>
            <w:tcBorders>
              <w:top w:val="single" w:sz="6" w:space="0" w:color="00000A"/>
              <w:left w:val="single" w:sz="6" w:space="0" w:color="00000A"/>
              <w:bottom w:val="single" w:sz="6" w:space="0" w:color="00000A"/>
              <w:right w:val="single" w:sz="6" w:space="0" w:color="00000A"/>
            </w:tcBorders>
          </w:tcPr>
          <w:p w14:paraId="126BD75B"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p>
        </w:tc>
      </w:tr>
      <w:tr w:rsidR="003C5BF4" w:rsidRPr="0032731C" w14:paraId="422F6F27" w14:textId="0DF96B44" w:rsidTr="00182F41">
        <w:trPr>
          <w:trHeight w:val="285"/>
        </w:trPr>
        <w:tc>
          <w:tcPr>
            <w:tcW w:w="6513" w:type="dxa"/>
            <w:tcBorders>
              <w:top w:val="single" w:sz="6" w:space="0" w:color="00000A"/>
              <w:left w:val="single" w:sz="6" w:space="0" w:color="00000A"/>
              <w:bottom w:val="single" w:sz="6" w:space="0" w:color="00000A"/>
              <w:right w:val="single" w:sz="6" w:space="0" w:color="00000A"/>
            </w:tcBorders>
            <w:shd w:val="clear" w:color="auto" w:fill="D9D9D9"/>
            <w:vAlign w:val="center"/>
            <w:hideMark/>
          </w:tcPr>
          <w:p w14:paraId="3C1D115A"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b/>
                <w:bCs/>
                <w:kern w:val="0"/>
                <w:lang w:eastAsia="cs-CZ"/>
                <w14:ligatures w14:val="none"/>
              </w:rPr>
              <w:t>Požadavek na záruku a servis</w:t>
            </w:r>
            <w:r w:rsidRPr="0032731C">
              <w:rPr>
                <w:rFonts w:ascii="Times New Roman" w:eastAsia="Times New Roman" w:hAnsi="Times New Roman" w:cs="Times New Roman"/>
                <w:kern w:val="0"/>
                <w:lang w:eastAsia="cs-CZ"/>
                <w14:ligatures w14:val="none"/>
              </w:rPr>
              <w:t> </w:t>
            </w:r>
          </w:p>
        </w:tc>
        <w:tc>
          <w:tcPr>
            <w:tcW w:w="2543" w:type="dxa"/>
            <w:tcBorders>
              <w:top w:val="single" w:sz="6" w:space="0" w:color="00000A"/>
              <w:left w:val="single" w:sz="6" w:space="0" w:color="00000A"/>
              <w:bottom w:val="single" w:sz="6" w:space="0" w:color="00000A"/>
              <w:right w:val="single" w:sz="6" w:space="0" w:color="00000A"/>
            </w:tcBorders>
            <w:shd w:val="clear" w:color="auto" w:fill="D9D9D9"/>
          </w:tcPr>
          <w:p w14:paraId="3494C56E" w14:textId="77777777" w:rsidR="003C5BF4" w:rsidRPr="0032731C" w:rsidRDefault="003C5BF4" w:rsidP="003C5BF4">
            <w:pPr>
              <w:spacing w:after="0" w:line="240" w:lineRule="auto"/>
              <w:textAlignment w:val="baseline"/>
              <w:rPr>
                <w:rFonts w:ascii="Times New Roman" w:eastAsia="Times New Roman" w:hAnsi="Times New Roman" w:cs="Times New Roman"/>
                <w:b/>
                <w:bCs/>
                <w:kern w:val="0"/>
                <w:lang w:eastAsia="cs-CZ"/>
                <w14:ligatures w14:val="none"/>
              </w:rPr>
            </w:pPr>
          </w:p>
        </w:tc>
      </w:tr>
      <w:tr w:rsidR="003C5BF4" w:rsidRPr="0032731C" w14:paraId="06A5762F" w14:textId="4A66C981" w:rsidTr="00182F41">
        <w:trPr>
          <w:trHeight w:val="585"/>
        </w:trPr>
        <w:tc>
          <w:tcPr>
            <w:tcW w:w="651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30C8139F" w14:textId="77777777" w:rsidR="003C5BF4" w:rsidRPr="0032731C" w:rsidRDefault="003C5BF4" w:rsidP="003C5BF4">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color w:val="202124"/>
                <w:kern w:val="0"/>
                <w:lang w:eastAsia="cs-CZ"/>
                <w14:ligatures w14:val="none"/>
              </w:rPr>
              <w:t>Zadavatel požaduje záruku za jakost předmětu koupě v trvání 24 měsíců, případně delší záruku, stanoví-li tak právní předpisy nebo výrobce. </w:t>
            </w:r>
          </w:p>
        </w:tc>
        <w:tc>
          <w:tcPr>
            <w:tcW w:w="2543" w:type="dxa"/>
            <w:tcBorders>
              <w:top w:val="single" w:sz="6" w:space="0" w:color="00000A"/>
              <w:left w:val="single" w:sz="6" w:space="0" w:color="00000A"/>
              <w:bottom w:val="single" w:sz="6" w:space="0" w:color="00000A"/>
              <w:right w:val="single" w:sz="6" w:space="0" w:color="00000A"/>
            </w:tcBorders>
            <w:shd w:val="clear" w:color="auto" w:fill="FFFFFF"/>
          </w:tcPr>
          <w:p w14:paraId="644D2AB6" w14:textId="77777777" w:rsidR="003C5BF4" w:rsidRPr="0032731C" w:rsidRDefault="003C5BF4" w:rsidP="003C5BF4">
            <w:pPr>
              <w:spacing w:after="0" w:line="240" w:lineRule="auto"/>
              <w:jc w:val="both"/>
              <w:textAlignment w:val="baseline"/>
              <w:rPr>
                <w:rFonts w:ascii="Times New Roman" w:eastAsia="Times New Roman" w:hAnsi="Times New Roman" w:cs="Times New Roman"/>
                <w:color w:val="202124"/>
                <w:kern w:val="0"/>
                <w:lang w:eastAsia="cs-CZ"/>
                <w14:ligatures w14:val="none"/>
              </w:rPr>
            </w:pPr>
          </w:p>
        </w:tc>
      </w:tr>
      <w:tr w:rsidR="003C5BF4" w:rsidRPr="0032731C" w14:paraId="49C5FC2E" w14:textId="7F6C6194" w:rsidTr="00182F41">
        <w:trPr>
          <w:trHeight w:val="285"/>
        </w:trPr>
        <w:tc>
          <w:tcPr>
            <w:tcW w:w="6513" w:type="dxa"/>
            <w:tcBorders>
              <w:top w:val="single" w:sz="6" w:space="0" w:color="00000A"/>
              <w:left w:val="single" w:sz="6" w:space="0" w:color="00000A"/>
              <w:bottom w:val="single" w:sz="6" w:space="0" w:color="00000A"/>
              <w:right w:val="single" w:sz="6" w:space="0" w:color="00000A"/>
            </w:tcBorders>
            <w:shd w:val="clear" w:color="auto" w:fill="D9D9D9"/>
            <w:vAlign w:val="center"/>
            <w:hideMark/>
          </w:tcPr>
          <w:p w14:paraId="14B39E20" w14:textId="77777777"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sidRPr="0032731C">
              <w:rPr>
                <w:rFonts w:ascii="Times New Roman" w:eastAsia="Times New Roman" w:hAnsi="Times New Roman" w:cs="Times New Roman"/>
                <w:b/>
                <w:bCs/>
                <w:kern w:val="0"/>
                <w:lang w:eastAsia="cs-CZ"/>
                <w14:ligatures w14:val="none"/>
              </w:rPr>
              <w:t>Požadavky na kompatibilitu</w:t>
            </w:r>
            <w:r w:rsidRPr="0032731C">
              <w:rPr>
                <w:rFonts w:ascii="Times New Roman" w:eastAsia="Times New Roman" w:hAnsi="Times New Roman" w:cs="Times New Roman"/>
                <w:kern w:val="0"/>
                <w:lang w:eastAsia="cs-CZ"/>
                <w14:ligatures w14:val="none"/>
              </w:rPr>
              <w:t> </w:t>
            </w:r>
          </w:p>
        </w:tc>
        <w:tc>
          <w:tcPr>
            <w:tcW w:w="2543" w:type="dxa"/>
            <w:tcBorders>
              <w:top w:val="single" w:sz="6" w:space="0" w:color="00000A"/>
              <w:left w:val="single" w:sz="6" w:space="0" w:color="00000A"/>
              <w:bottom w:val="single" w:sz="6" w:space="0" w:color="00000A"/>
              <w:right w:val="single" w:sz="6" w:space="0" w:color="00000A"/>
            </w:tcBorders>
            <w:shd w:val="clear" w:color="auto" w:fill="D9D9D9"/>
          </w:tcPr>
          <w:p w14:paraId="7BE86652" w14:textId="77777777" w:rsidR="003C5BF4" w:rsidRPr="0032731C" w:rsidRDefault="003C5BF4" w:rsidP="003C5BF4">
            <w:pPr>
              <w:spacing w:after="0" w:line="240" w:lineRule="auto"/>
              <w:textAlignment w:val="baseline"/>
              <w:rPr>
                <w:rFonts w:ascii="Times New Roman" w:eastAsia="Times New Roman" w:hAnsi="Times New Roman" w:cs="Times New Roman"/>
                <w:b/>
                <w:bCs/>
                <w:kern w:val="0"/>
                <w:lang w:eastAsia="cs-CZ"/>
                <w14:ligatures w14:val="none"/>
              </w:rPr>
            </w:pPr>
          </w:p>
        </w:tc>
      </w:tr>
      <w:tr w:rsidR="003C5BF4" w:rsidRPr="0032731C" w14:paraId="7977069C" w14:textId="1DAA45DC" w:rsidTr="00182F41">
        <w:trPr>
          <w:trHeight w:val="270"/>
        </w:trPr>
        <w:tc>
          <w:tcPr>
            <w:tcW w:w="6513" w:type="dxa"/>
            <w:tcBorders>
              <w:top w:val="single" w:sz="6" w:space="0" w:color="00000A"/>
              <w:left w:val="single" w:sz="6" w:space="0" w:color="00000A"/>
              <w:bottom w:val="single" w:sz="6" w:space="0" w:color="00000A"/>
              <w:right w:val="single" w:sz="6" w:space="0" w:color="00000A"/>
            </w:tcBorders>
            <w:hideMark/>
          </w:tcPr>
          <w:p w14:paraId="0FC8296B" w14:textId="4EEDC1A3" w:rsidR="003C5BF4" w:rsidRPr="001562F0" w:rsidRDefault="003C5BF4" w:rsidP="003C5BF4">
            <w:pPr>
              <w:spacing w:after="0"/>
              <w:rPr>
                <w:rFonts w:ascii="Times New Roman" w:hAnsi="Times New Roman" w:cs="Times New Roman"/>
              </w:rPr>
            </w:pPr>
            <w:r>
              <w:rPr>
                <w:rFonts w:ascii="Times New Roman" w:hAnsi="Times New Roman" w:cs="Times New Roman"/>
              </w:rPr>
              <w:t>NE</w:t>
            </w:r>
          </w:p>
          <w:p w14:paraId="4B684049" w14:textId="122A6A0D" w:rsidR="003C5BF4" w:rsidRPr="0032731C" w:rsidRDefault="003C5BF4" w:rsidP="003C5BF4">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Times New Roman" w:hAnsi="Times New Roman" w:cs="Times New Roman"/>
              </w:rPr>
              <w:t xml:space="preserve">Přístroj nemusí být kompatibilní se stávajícím </w:t>
            </w:r>
            <w:r w:rsidRPr="000D3783">
              <w:rPr>
                <w:rFonts w:ascii="Times New Roman" w:hAnsi="Times New Roman" w:cs="Times New Roman"/>
              </w:rPr>
              <w:t>přístrojem</w:t>
            </w:r>
            <w:r>
              <w:rPr>
                <w:rFonts w:ascii="Times New Roman" w:hAnsi="Times New Roman" w:cs="Times New Roman"/>
              </w:rPr>
              <w:t>.</w:t>
            </w:r>
          </w:p>
        </w:tc>
        <w:tc>
          <w:tcPr>
            <w:tcW w:w="2543" w:type="dxa"/>
            <w:tcBorders>
              <w:top w:val="single" w:sz="6" w:space="0" w:color="00000A"/>
              <w:left w:val="single" w:sz="6" w:space="0" w:color="00000A"/>
              <w:bottom w:val="single" w:sz="6" w:space="0" w:color="00000A"/>
              <w:right w:val="single" w:sz="6" w:space="0" w:color="00000A"/>
            </w:tcBorders>
          </w:tcPr>
          <w:p w14:paraId="2846DC52" w14:textId="77777777" w:rsidR="003C5BF4" w:rsidRPr="0032731C" w:rsidRDefault="003C5BF4" w:rsidP="003C5BF4">
            <w:pPr>
              <w:spacing w:after="0" w:line="240" w:lineRule="auto"/>
              <w:textAlignment w:val="baseline"/>
              <w:rPr>
                <w:rFonts w:ascii="Times New Roman" w:eastAsia="Times New Roman" w:hAnsi="Times New Roman" w:cs="Times New Roman"/>
                <w:kern w:val="0"/>
                <w:lang w:eastAsia="cs-CZ"/>
                <w14:ligatures w14:val="none"/>
              </w:rPr>
            </w:pPr>
          </w:p>
        </w:tc>
      </w:tr>
    </w:tbl>
    <w:p w14:paraId="6645838F" w14:textId="77777777" w:rsidR="0032731C" w:rsidRPr="0032731C" w:rsidRDefault="0032731C" w:rsidP="0032731C">
      <w:pPr>
        <w:spacing w:after="0" w:line="240" w:lineRule="auto"/>
        <w:jc w:val="both"/>
        <w:textAlignment w:val="baseline"/>
        <w:rPr>
          <w:rFonts w:ascii="Segoe UI" w:eastAsia="Times New Roman" w:hAnsi="Segoe UI" w:cs="Segoe UI"/>
          <w:kern w:val="0"/>
          <w:sz w:val="18"/>
          <w:szCs w:val="18"/>
          <w:lang w:eastAsia="cs-CZ"/>
          <w14:ligatures w14:val="none"/>
        </w:rPr>
      </w:pPr>
      <w:r w:rsidRPr="0032731C">
        <w:rPr>
          <w:rFonts w:ascii="Times New Roman" w:eastAsia="Times New Roman" w:hAnsi="Times New Roman" w:cs="Times New Roman"/>
          <w:kern w:val="0"/>
          <w:lang w:eastAsia="cs-CZ"/>
          <w14:ligatures w14:val="none"/>
        </w:rPr>
        <w:t> </w:t>
      </w:r>
    </w:p>
    <w:p w14:paraId="13D4EC94" w14:textId="77777777" w:rsidR="0032731C" w:rsidRPr="0032731C" w:rsidRDefault="0032731C" w:rsidP="0032731C">
      <w:pPr>
        <w:spacing w:after="0" w:line="240" w:lineRule="auto"/>
        <w:jc w:val="both"/>
        <w:textAlignment w:val="baseline"/>
        <w:rPr>
          <w:rFonts w:ascii="Segoe UI" w:eastAsia="Times New Roman" w:hAnsi="Segoe UI" w:cs="Segoe UI"/>
          <w:kern w:val="0"/>
          <w:sz w:val="18"/>
          <w:szCs w:val="18"/>
          <w:lang w:eastAsia="cs-CZ"/>
          <w14:ligatures w14:val="none"/>
        </w:rPr>
      </w:pPr>
      <w:r w:rsidRPr="0032731C">
        <w:rPr>
          <w:rFonts w:ascii="Times New Roman" w:eastAsia="Times New Roman" w:hAnsi="Times New Roman" w:cs="Times New Roman"/>
          <w:kern w:val="0"/>
          <w:lang w:eastAsia="cs-CZ"/>
          <w14:ligatures w14:val="none"/>
        </w:rPr>
        <w:t>V nabídkové ceně účastník zahrne dopravu k odběrateli, vybalení, instalaci a zprovoznění. </w:t>
      </w:r>
    </w:p>
    <w:p w14:paraId="6A84A542" w14:textId="77777777" w:rsidR="0032731C" w:rsidRPr="0032731C" w:rsidRDefault="0032731C" w:rsidP="0032731C">
      <w:pPr>
        <w:spacing w:after="0" w:line="240" w:lineRule="auto"/>
        <w:jc w:val="both"/>
        <w:textAlignment w:val="baseline"/>
        <w:rPr>
          <w:rFonts w:ascii="Segoe UI" w:eastAsia="Times New Roman" w:hAnsi="Segoe UI" w:cs="Segoe UI"/>
          <w:kern w:val="0"/>
          <w:sz w:val="18"/>
          <w:szCs w:val="18"/>
          <w:lang w:eastAsia="cs-CZ"/>
          <w14:ligatures w14:val="none"/>
        </w:rPr>
      </w:pPr>
      <w:r w:rsidRPr="0032731C">
        <w:rPr>
          <w:rFonts w:ascii="Times New Roman" w:eastAsia="Times New Roman" w:hAnsi="Times New Roman" w:cs="Times New Roman"/>
          <w:kern w:val="0"/>
          <w:lang w:eastAsia="cs-CZ"/>
          <w14:ligatures w14:val="none"/>
        </w:rPr>
        <w:t> </w:t>
      </w:r>
    </w:p>
    <w:p w14:paraId="501645EE" w14:textId="77777777" w:rsidR="00DE576D" w:rsidRDefault="00DE576D"/>
    <w:sectPr w:rsidR="00DE576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AEF4" w14:textId="77777777" w:rsidR="009928C4" w:rsidRDefault="009928C4" w:rsidP="00C322E7">
      <w:pPr>
        <w:spacing w:after="0" w:line="240" w:lineRule="auto"/>
      </w:pPr>
      <w:r>
        <w:separator/>
      </w:r>
    </w:p>
  </w:endnote>
  <w:endnote w:type="continuationSeparator" w:id="0">
    <w:p w14:paraId="1695AF4A" w14:textId="77777777" w:rsidR="009928C4" w:rsidRDefault="009928C4" w:rsidP="00C3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2339" w14:textId="77777777" w:rsidR="009928C4" w:rsidRDefault="009928C4" w:rsidP="00C322E7">
      <w:pPr>
        <w:spacing w:after="0" w:line="240" w:lineRule="auto"/>
      </w:pPr>
      <w:r>
        <w:separator/>
      </w:r>
    </w:p>
  </w:footnote>
  <w:footnote w:type="continuationSeparator" w:id="0">
    <w:p w14:paraId="21D812A0" w14:textId="77777777" w:rsidR="009928C4" w:rsidRDefault="009928C4" w:rsidP="00C32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B256" w14:textId="7445349F" w:rsidR="00C322E7" w:rsidRDefault="00C322E7">
    <w:pPr>
      <w:pStyle w:val="Zhlav"/>
    </w:pPr>
    <w:r>
      <w:rPr>
        <w:rFonts w:ascii="Times New Roman" w:hAnsi="Times New Roman"/>
        <w:noProof/>
        <w:sz w:val="24"/>
      </w:rPr>
      <w:drawing>
        <wp:inline distT="0" distB="0" distL="0" distR="0" wp14:anchorId="1E00B379" wp14:editId="1BF1D83D">
          <wp:extent cx="4229100" cy="601924"/>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43925" cy="60403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1C"/>
    <w:rsid w:val="0000114C"/>
    <w:rsid w:val="000126FF"/>
    <w:rsid w:val="00023011"/>
    <w:rsid w:val="00041A55"/>
    <w:rsid w:val="00057561"/>
    <w:rsid w:val="0006691E"/>
    <w:rsid w:val="0007117F"/>
    <w:rsid w:val="00073482"/>
    <w:rsid w:val="00074D0D"/>
    <w:rsid w:val="00075D60"/>
    <w:rsid w:val="00077E3D"/>
    <w:rsid w:val="00080E5B"/>
    <w:rsid w:val="000821E1"/>
    <w:rsid w:val="00090083"/>
    <w:rsid w:val="000A2F57"/>
    <w:rsid w:val="000A4D8D"/>
    <w:rsid w:val="000B4149"/>
    <w:rsid w:val="000D18B8"/>
    <w:rsid w:val="000D62FC"/>
    <w:rsid w:val="000F1A87"/>
    <w:rsid w:val="000F4992"/>
    <w:rsid w:val="000F4B40"/>
    <w:rsid w:val="0010183D"/>
    <w:rsid w:val="00104493"/>
    <w:rsid w:val="00105E6E"/>
    <w:rsid w:val="00114DD8"/>
    <w:rsid w:val="001463E0"/>
    <w:rsid w:val="00151F31"/>
    <w:rsid w:val="00170AF1"/>
    <w:rsid w:val="00173EA9"/>
    <w:rsid w:val="00175009"/>
    <w:rsid w:val="0018080B"/>
    <w:rsid w:val="00181FDB"/>
    <w:rsid w:val="00182F41"/>
    <w:rsid w:val="0018320B"/>
    <w:rsid w:val="00191D3F"/>
    <w:rsid w:val="001925DA"/>
    <w:rsid w:val="00193809"/>
    <w:rsid w:val="001957B2"/>
    <w:rsid w:val="00197D67"/>
    <w:rsid w:val="001A28D7"/>
    <w:rsid w:val="001A6A95"/>
    <w:rsid w:val="001B107E"/>
    <w:rsid w:val="001C246D"/>
    <w:rsid w:val="001C2DCD"/>
    <w:rsid w:val="001D3E80"/>
    <w:rsid w:val="001D41B6"/>
    <w:rsid w:val="001D4AEA"/>
    <w:rsid w:val="001E32D2"/>
    <w:rsid w:val="001E711A"/>
    <w:rsid w:val="00207D15"/>
    <w:rsid w:val="00221745"/>
    <w:rsid w:val="0022186A"/>
    <w:rsid w:val="00222B4E"/>
    <w:rsid w:val="002351E3"/>
    <w:rsid w:val="00236ABA"/>
    <w:rsid w:val="0024240C"/>
    <w:rsid w:val="00243744"/>
    <w:rsid w:val="0028149C"/>
    <w:rsid w:val="00295091"/>
    <w:rsid w:val="002A0349"/>
    <w:rsid w:val="002A786A"/>
    <w:rsid w:val="002B5645"/>
    <w:rsid w:val="002B6291"/>
    <w:rsid w:val="002D5E40"/>
    <w:rsid w:val="002D7726"/>
    <w:rsid w:val="002E1E11"/>
    <w:rsid w:val="002E67B0"/>
    <w:rsid w:val="002F4BE0"/>
    <w:rsid w:val="002F5444"/>
    <w:rsid w:val="00301D62"/>
    <w:rsid w:val="003067F3"/>
    <w:rsid w:val="00312BE2"/>
    <w:rsid w:val="00320DFC"/>
    <w:rsid w:val="003240DF"/>
    <w:rsid w:val="0032474C"/>
    <w:rsid w:val="0032731C"/>
    <w:rsid w:val="0033308F"/>
    <w:rsid w:val="00335F9F"/>
    <w:rsid w:val="00340EB0"/>
    <w:rsid w:val="003417CF"/>
    <w:rsid w:val="00341A73"/>
    <w:rsid w:val="00342074"/>
    <w:rsid w:val="0034740F"/>
    <w:rsid w:val="00351584"/>
    <w:rsid w:val="00366842"/>
    <w:rsid w:val="003824EA"/>
    <w:rsid w:val="003958A8"/>
    <w:rsid w:val="0039660D"/>
    <w:rsid w:val="003973D4"/>
    <w:rsid w:val="003A074F"/>
    <w:rsid w:val="003A0DFB"/>
    <w:rsid w:val="003A5D4D"/>
    <w:rsid w:val="003B05D4"/>
    <w:rsid w:val="003B0C59"/>
    <w:rsid w:val="003B2B08"/>
    <w:rsid w:val="003C1DC0"/>
    <w:rsid w:val="003C5BF4"/>
    <w:rsid w:val="003D4164"/>
    <w:rsid w:val="003F0BA8"/>
    <w:rsid w:val="0040064C"/>
    <w:rsid w:val="00403737"/>
    <w:rsid w:val="00406874"/>
    <w:rsid w:val="00413C53"/>
    <w:rsid w:val="0042167A"/>
    <w:rsid w:val="00434073"/>
    <w:rsid w:val="00435F50"/>
    <w:rsid w:val="004363F6"/>
    <w:rsid w:val="00436C21"/>
    <w:rsid w:val="00460794"/>
    <w:rsid w:val="0047180C"/>
    <w:rsid w:val="00471FB9"/>
    <w:rsid w:val="004B5966"/>
    <w:rsid w:val="004D2542"/>
    <w:rsid w:val="004D35E1"/>
    <w:rsid w:val="004E1A95"/>
    <w:rsid w:val="004E701C"/>
    <w:rsid w:val="004F0FEA"/>
    <w:rsid w:val="00500D0C"/>
    <w:rsid w:val="00500D12"/>
    <w:rsid w:val="00503885"/>
    <w:rsid w:val="00507604"/>
    <w:rsid w:val="00516B31"/>
    <w:rsid w:val="00523B03"/>
    <w:rsid w:val="005409C9"/>
    <w:rsid w:val="00552A83"/>
    <w:rsid w:val="00561452"/>
    <w:rsid w:val="00576301"/>
    <w:rsid w:val="00580AAA"/>
    <w:rsid w:val="00584B33"/>
    <w:rsid w:val="00596FCF"/>
    <w:rsid w:val="005A3513"/>
    <w:rsid w:val="005B3F54"/>
    <w:rsid w:val="005D0F02"/>
    <w:rsid w:val="005E72F7"/>
    <w:rsid w:val="0060100D"/>
    <w:rsid w:val="0060316B"/>
    <w:rsid w:val="00604278"/>
    <w:rsid w:val="00604B0A"/>
    <w:rsid w:val="00606043"/>
    <w:rsid w:val="00607BD7"/>
    <w:rsid w:val="006126C7"/>
    <w:rsid w:val="006170E2"/>
    <w:rsid w:val="00626DD5"/>
    <w:rsid w:val="006271EC"/>
    <w:rsid w:val="00632D90"/>
    <w:rsid w:val="00637E57"/>
    <w:rsid w:val="0064458A"/>
    <w:rsid w:val="006558D8"/>
    <w:rsid w:val="006621BD"/>
    <w:rsid w:val="00663C3D"/>
    <w:rsid w:val="00680989"/>
    <w:rsid w:val="00681B6C"/>
    <w:rsid w:val="006A26BE"/>
    <w:rsid w:val="006B7178"/>
    <w:rsid w:val="006C782A"/>
    <w:rsid w:val="006D1480"/>
    <w:rsid w:val="006D1E38"/>
    <w:rsid w:val="006D3CAE"/>
    <w:rsid w:val="006F7104"/>
    <w:rsid w:val="00700999"/>
    <w:rsid w:val="00701075"/>
    <w:rsid w:val="00701139"/>
    <w:rsid w:val="00703738"/>
    <w:rsid w:val="00704346"/>
    <w:rsid w:val="00713DC1"/>
    <w:rsid w:val="00725B84"/>
    <w:rsid w:val="00743435"/>
    <w:rsid w:val="00745F66"/>
    <w:rsid w:val="00747654"/>
    <w:rsid w:val="00753F05"/>
    <w:rsid w:val="00760FBE"/>
    <w:rsid w:val="007656A9"/>
    <w:rsid w:val="007752D7"/>
    <w:rsid w:val="0077683A"/>
    <w:rsid w:val="00777452"/>
    <w:rsid w:val="007836E1"/>
    <w:rsid w:val="00797167"/>
    <w:rsid w:val="007B3BE1"/>
    <w:rsid w:val="007B6FF0"/>
    <w:rsid w:val="007B7A7E"/>
    <w:rsid w:val="007D4F3C"/>
    <w:rsid w:val="007E35BA"/>
    <w:rsid w:val="007E61A5"/>
    <w:rsid w:val="007F63DE"/>
    <w:rsid w:val="007F766D"/>
    <w:rsid w:val="008026BB"/>
    <w:rsid w:val="00805951"/>
    <w:rsid w:val="008145AD"/>
    <w:rsid w:val="0081630D"/>
    <w:rsid w:val="00816333"/>
    <w:rsid w:val="00820087"/>
    <w:rsid w:val="0082350B"/>
    <w:rsid w:val="0082532E"/>
    <w:rsid w:val="008258A9"/>
    <w:rsid w:val="00826234"/>
    <w:rsid w:val="00834960"/>
    <w:rsid w:val="008400B1"/>
    <w:rsid w:val="008511B2"/>
    <w:rsid w:val="00852D68"/>
    <w:rsid w:val="00853DA3"/>
    <w:rsid w:val="00857B03"/>
    <w:rsid w:val="0086679F"/>
    <w:rsid w:val="008668C2"/>
    <w:rsid w:val="0086711B"/>
    <w:rsid w:val="00876F6A"/>
    <w:rsid w:val="00881880"/>
    <w:rsid w:val="0088662F"/>
    <w:rsid w:val="008874EB"/>
    <w:rsid w:val="008925F6"/>
    <w:rsid w:val="008B5136"/>
    <w:rsid w:val="008B6CC4"/>
    <w:rsid w:val="008C16DB"/>
    <w:rsid w:val="008C2ACE"/>
    <w:rsid w:val="008C7AE1"/>
    <w:rsid w:val="008D5C9B"/>
    <w:rsid w:val="008F032A"/>
    <w:rsid w:val="00910309"/>
    <w:rsid w:val="0091072D"/>
    <w:rsid w:val="00915B97"/>
    <w:rsid w:val="00936EEC"/>
    <w:rsid w:val="00941991"/>
    <w:rsid w:val="009468C6"/>
    <w:rsid w:val="00952DB4"/>
    <w:rsid w:val="00956D60"/>
    <w:rsid w:val="00961072"/>
    <w:rsid w:val="00961CAA"/>
    <w:rsid w:val="00963255"/>
    <w:rsid w:val="00971E07"/>
    <w:rsid w:val="009928C4"/>
    <w:rsid w:val="00992AAC"/>
    <w:rsid w:val="009A03E8"/>
    <w:rsid w:val="009A39AE"/>
    <w:rsid w:val="009A6E9B"/>
    <w:rsid w:val="009B170E"/>
    <w:rsid w:val="009B2D94"/>
    <w:rsid w:val="009B77F0"/>
    <w:rsid w:val="009C0C50"/>
    <w:rsid w:val="009C46EA"/>
    <w:rsid w:val="009C5E8E"/>
    <w:rsid w:val="009D5723"/>
    <w:rsid w:val="009D72C1"/>
    <w:rsid w:val="009E01F0"/>
    <w:rsid w:val="009E7293"/>
    <w:rsid w:val="009F3231"/>
    <w:rsid w:val="009F55F1"/>
    <w:rsid w:val="00A1343F"/>
    <w:rsid w:val="00A13EA0"/>
    <w:rsid w:val="00A34E35"/>
    <w:rsid w:val="00A35FF4"/>
    <w:rsid w:val="00A42936"/>
    <w:rsid w:val="00A52B86"/>
    <w:rsid w:val="00A55CA8"/>
    <w:rsid w:val="00A56D63"/>
    <w:rsid w:val="00A61650"/>
    <w:rsid w:val="00A67920"/>
    <w:rsid w:val="00A72016"/>
    <w:rsid w:val="00A75490"/>
    <w:rsid w:val="00A76299"/>
    <w:rsid w:val="00A82BCF"/>
    <w:rsid w:val="00A92613"/>
    <w:rsid w:val="00AA33BB"/>
    <w:rsid w:val="00AA7ED2"/>
    <w:rsid w:val="00AB1C58"/>
    <w:rsid w:val="00AB244C"/>
    <w:rsid w:val="00AC748F"/>
    <w:rsid w:val="00AC75B3"/>
    <w:rsid w:val="00AD319F"/>
    <w:rsid w:val="00AE1341"/>
    <w:rsid w:val="00AF56FE"/>
    <w:rsid w:val="00AF7416"/>
    <w:rsid w:val="00B032E2"/>
    <w:rsid w:val="00B07D1A"/>
    <w:rsid w:val="00B10018"/>
    <w:rsid w:val="00B20775"/>
    <w:rsid w:val="00B26FF3"/>
    <w:rsid w:val="00B548B7"/>
    <w:rsid w:val="00B65376"/>
    <w:rsid w:val="00B67131"/>
    <w:rsid w:val="00B716FC"/>
    <w:rsid w:val="00B75CFB"/>
    <w:rsid w:val="00B87677"/>
    <w:rsid w:val="00B903E2"/>
    <w:rsid w:val="00B92EDD"/>
    <w:rsid w:val="00B962A8"/>
    <w:rsid w:val="00BA1514"/>
    <w:rsid w:val="00BB1A02"/>
    <w:rsid w:val="00BC1D3A"/>
    <w:rsid w:val="00BC2708"/>
    <w:rsid w:val="00BC38DA"/>
    <w:rsid w:val="00BC6808"/>
    <w:rsid w:val="00BD276B"/>
    <w:rsid w:val="00BD6207"/>
    <w:rsid w:val="00BF0BB3"/>
    <w:rsid w:val="00BF1FF7"/>
    <w:rsid w:val="00BF59D3"/>
    <w:rsid w:val="00BF60D4"/>
    <w:rsid w:val="00C022FC"/>
    <w:rsid w:val="00C035D0"/>
    <w:rsid w:val="00C131F8"/>
    <w:rsid w:val="00C2725E"/>
    <w:rsid w:val="00C322E7"/>
    <w:rsid w:val="00C52EA9"/>
    <w:rsid w:val="00C63BCB"/>
    <w:rsid w:val="00C70968"/>
    <w:rsid w:val="00C80D45"/>
    <w:rsid w:val="00C843EB"/>
    <w:rsid w:val="00C8486D"/>
    <w:rsid w:val="00C85359"/>
    <w:rsid w:val="00CB4C7A"/>
    <w:rsid w:val="00CB5A86"/>
    <w:rsid w:val="00CC4E6E"/>
    <w:rsid w:val="00CC4F19"/>
    <w:rsid w:val="00CD020B"/>
    <w:rsid w:val="00CD0859"/>
    <w:rsid w:val="00CD2312"/>
    <w:rsid w:val="00CE3D8C"/>
    <w:rsid w:val="00CF272E"/>
    <w:rsid w:val="00D01E25"/>
    <w:rsid w:val="00D072A2"/>
    <w:rsid w:val="00D106EE"/>
    <w:rsid w:val="00D16581"/>
    <w:rsid w:val="00D220E3"/>
    <w:rsid w:val="00D22569"/>
    <w:rsid w:val="00D27E54"/>
    <w:rsid w:val="00D35493"/>
    <w:rsid w:val="00D4732F"/>
    <w:rsid w:val="00D54103"/>
    <w:rsid w:val="00D61009"/>
    <w:rsid w:val="00D63E5C"/>
    <w:rsid w:val="00D64490"/>
    <w:rsid w:val="00D65262"/>
    <w:rsid w:val="00D74BF5"/>
    <w:rsid w:val="00D81CE1"/>
    <w:rsid w:val="00D8541A"/>
    <w:rsid w:val="00D854F4"/>
    <w:rsid w:val="00D91B0B"/>
    <w:rsid w:val="00D9687E"/>
    <w:rsid w:val="00DA0B7D"/>
    <w:rsid w:val="00DA1B5F"/>
    <w:rsid w:val="00DA4CCC"/>
    <w:rsid w:val="00DB15A4"/>
    <w:rsid w:val="00DB2B09"/>
    <w:rsid w:val="00DB759A"/>
    <w:rsid w:val="00DC5C76"/>
    <w:rsid w:val="00DD5099"/>
    <w:rsid w:val="00DD7131"/>
    <w:rsid w:val="00DD74FD"/>
    <w:rsid w:val="00DE1DE4"/>
    <w:rsid w:val="00DE576D"/>
    <w:rsid w:val="00DE5CCF"/>
    <w:rsid w:val="00DF2179"/>
    <w:rsid w:val="00DF2372"/>
    <w:rsid w:val="00DF7A7F"/>
    <w:rsid w:val="00E00FF6"/>
    <w:rsid w:val="00E04AF2"/>
    <w:rsid w:val="00E05B5C"/>
    <w:rsid w:val="00E174F6"/>
    <w:rsid w:val="00E467F2"/>
    <w:rsid w:val="00E706AC"/>
    <w:rsid w:val="00E71E1B"/>
    <w:rsid w:val="00E71E2F"/>
    <w:rsid w:val="00E92423"/>
    <w:rsid w:val="00E9357B"/>
    <w:rsid w:val="00EA0373"/>
    <w:rsid w:val="00EA6DD4"/>
    <w:rsid w:val="00EC69EF"/>
    <w:rsid w:val="00ED2AD4"/>
    <w:rsid w:val="00ED2C42"/>
    <w:rsid w:val="00EE49D9"/>
    <w:rsid w:val="00EE4AC9"/>
    <w:rsid w:val="00EF571E"/>
    <w:rsid w:val="00F053DB"/>
    <w:rsid w:val="00F11C0C"/>
    <w:rsid w:val="00F121C9"/>
    <w:rsid w:val="00F259ED"/>
    <w:rsid w:val="00F31FDE"/>
    <w:rsid w:val="00F33CB1"/>
    <w:rsid w:val="00F343E4"/>
    <w:rsid w:val="00F45496"/>
    <w:rsid w:val="00F61AE1"/>
    <w:rsid w:val="00F706AB"/>
    <w:rsid w:val="00F721E0"/>
    <w:rsid w:val="00F81538"/>
    <w:rsid w:val="00F940DA"/>
    <w:rsid w:val="00FB0519"/>
    <w:rsid w:val="00FD3374"/>
    <w:rsid w:val="00FD7EE6"/>
    <w:rsid w:val="00FE0B7B"/>
    <w:rsid w:val="00FE3439"/>
    <w:rsid w:val="00FE664E"/>
    <w:rsid w:val="00FE7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1B76"/>
  <w15:chartTrackingRefBased/>
  <w15:docId w15:val="{611CE31D-D8B7-4DA9-8AD6-78859897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32731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32731C"/>
  </w:style>
  <w:style w:type="character" w:customStyle="1" w:styleId="eop">
    <w:name w:val="eop"/>
    <w:basedOn w:val="Standardnpsmoodstavce"/>
    <w:rsid w:val="0032731C"/>
  </w:style>
  <w:style w:type="character" w:customStyle="1" w:styleId="tabchar">
    <w:name w:val="tabchar"/>
    <w:basedOn w:val="Standardnpsmoodstavce"/>
    <w:rsid w:val="0032731C"/>
  </w:style>
  <w:style w:type="paragraph" w:styleId="Revize">
    <w:name w:val="Revision"/>
    <w:hidden/>
    <w:uiPriority w:val="99"/>
    <w:semiHidden/>
    <w:rsid w:val="003824EA"/>
    <w:pPr>
      <w:spacing w:after="0" w:line="240" w:lineRule="auto"/>
    </w:pPr>
  </w:style>
  <w:style w:type="character" w:styleId="Odkaznakoment">
    <w:name w:val="annotation reference"/>
    <w:basedOn w:val="Standardnpsmoodstavce"/>
    <w:uiPriority w:val="99"/>
    <w:semiHidden/>
    <w:unhideWhenUsed/>
    <w:rsid w:val="002F5444"/>
    <w:rPr>
      <w:sz w:val="16"/>
      <w:szCs w:val="16"/>
    </w:rPr>
  </w:style>
  <w:style w:type="paragraph" w:styleId="Textkomente">
    <w:name w:val="annotation text"/>
    <w:basedOn w:val="Normln"/>
    <w:link w:val="TextkomenteChar"/>
    <w:uiPriority w:val="99"/>
    <w:unhideWhenUsed/>
    <w:rsid w:val="002F5444"/>
    <w:pPr>
      <w:spacing w:line="240" w:lineRule="auto"/>
    </w:pPr>
    <w:rPr>
      <w:sz w:val="20"/>
      <w:szCs w:val="20"/>
    </w:rPr>
  </w:style>
  <w:style w:type="character" w:customStyle="1" w:styleId="TextkomenteChar">
    <w:name w:val="Text komentáře Char"/>
    <w:basedOn w:val="Standardnpsmoodstavce"/>
    <w:link w:val="Textkomente"/>
    <w:uiPriority w:val="99"/>
    <w:rsid w:val="002F5444"/>
    <w:rPr>
      <w:sz w:val="20"/>
      <w:szCs w:val="20"/>
    </w:rPr>
  </w:style>
  <w:style w:type="paragraph" w:styleId="Pedmtkomente">
    <w:name w:val="annotation subject"/>
    <w:basedOn w:val="Textkomente"/>
    <w:next w:val="Textkomente"/>
    <w:link w:val="PedmtkomenteChar"/>
    <w:uiPriority w:val="99"/>
    <w:semiHidden/>
    <w:unhideWhenUsed/>
    <w:rsid w:val="002F5444"/>
    <w:rPr>
      <w:b/>
      <w:bCs/>
    </w:rPr>
  </w:style>
  <w:style w:type="character" w:customStyle="1" w:styleId="PedmtkomenteChar">
    <w:name w:val="Předmět komentáře Char"/>
    <w:basedOn w:val="TextkomenteChar"/>
    <w:link w:val="Pedmtkomente"/>
    <w:uiPriority w:val="99"/>
    <w:semiHidden/>
    <w:rsid w:val="002F5444"/>
    <w:rPr>
      <w:b/>
      <w:bCs/>
      <w:sz w:val="20"/>
      <w:szCs w:val="20"/>
    </w:rPr>
  </w:style>
  <w:style w:type="paragraph" w:styleId="Zhlav">
    <w:name w:val="header"/>
    <w:basedOn w:val="Normln"/>
    <w:link w:val="ZhlavChar"/>
    <w:uiPriority w:val="99"/>
    <w:unhideWhenUsed/>
    <w:rsid w:val="00C322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22E7"/>
  </w:style>
  <w:style w:type="paragraph" w:styleId="Zpat">
    <w:name w:val="footer"/>
    <w:basedOn w:val="Normln"/>
    <w:link w:val="ZpatChar"/>
    <w:uiPriority w:val="99"/>
    <w:unhideWhenUsed/>
    <w:rsid w:val="00C322E7"/>
    <w:pPr>
      <w:tabs>
        <w:tab w:val="center" w:pos="4536"/>
        <w:tab w:val="right" w:pos="9072"/>
      </w:tabs>
      <w:spacing w:after="0" w:line="240" w:lineRule="auto"/>
    </w:pPr>
  </w:style>
  <w:style w:type="character" w:customStyle="1" w:styleId="ZpatChar">
    <w:name w:val="Zápatí Char"/>
    <w:basedOn w:val="Standardnpsmoodstavce"/>
    <w:link w:val="Zpat"/>
    <w:uiPriority w:val="99"/>
    <w:rsid w:val="00C3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00198">
      <w:bodyDiv w:val="1"/>
      <w:marLeft w:val="0"/>
      <w:marRight w:val="0"/>
      <w:marTop w:val="0"/>
      <w:marBottom w:val="0"/>
      <w:divBdr>
        <w:top w:val="none" w:sz="0" w:space="0" w:color="auto"/>
        <w:left w:val="none" w:sz="0" w:space="0" w:color="auto"/>
        <w:bottom w:val="none" w:sz="0" w:space="0" w:color="auto"/>
        <w:right w:val="none" w:sz="0" w:space="0" w:color="auto"/>
      </w:divBdr>
      <w:divsChild>
        <w:div w:id="36511795">
          <w:marLeft w:val="0"/>
          <w:marRight w:val="0"/>
          <w:marTop w:val="0"/>
          <w:marBottom w:val="0"/>
          <w:divBdr>
            <w:top w:val="none" w:sz="0" w:space="0" w:color="auto"/>
            <w:left w:val="none" w:sz="0" w:space="0" w:color="auto"/>
            <w:bottom w:val="none" w:sz="0" w:space="0" w:color="auto"/>
            <w:right w:val="none" w:sz="0" w:space="0" w:color="auto"/>
          </w:divBdr>
        </w:div>
        <w:div w:id="1738815897">
          <w:marLeft w:val="0"/>
          <w:marRight w:val="0"/>
          <w:marTop w:val="0"/>
          <w:marBottom w:val="0"/>
          <w:divBdr>
            <w:top w:val="none" w:sz="0" w:space="0" w:color="auto"/>
            <w:left w:val="none" w:sz="0" w:space="0" w:color="auto"/>
            <w:bottom w:val="none" w:sz="0" w:space="0" w:color="auto"/>
            <w:right w:val="none" w:sz="0" w:space="0" w:color="auto"/>
          </w:divBdr>
        </w:div>
        <w:div w:id="836379384">
          <w:marLeft w:val="0"/>
          <w:marRight w:val="0"/>
          <w:marTop w:val="0"/>
          <w:marBottom w:val="0"/>
          <w:divBdr>
            <w:top w:val="none" w:sz="0" w:space="0" w:color="auto"/>
            <w:left w:val="none" w:sz="0" w:space="0" w:color="auto"/>
            <w:bottom w:val="none" w:sz="0" w:space="0" w:color="auto"/>
            <w:right w:val="none" w:sz="0" w:space="0" w:color="auto"/>
          </w:divBdr>
        </w:div>
        <w:div w:id="607664610">
          <w:marLeft w:val="0"/>
          <w:marRight w:val="0"/>
          <w:marTop w:val="0"/>
          <w:marBottom w:val="0"/>
          <w:divBdr>
            <w:top w:val="none" w:sz="0" w:space="0" w:color="auto"/>
            <w:left w:val="none" w:sz="0" w:space="0" w:color="auto"/>
            <w:bottom w:val="none" w:sz="0" w:space="0" w:color="auto"/>
            <w:right w:val="none" w:sz="0" w:space="0" w:color="auto"/>
          </w:divBdr>
        </w:div>
        <w:div w:id="393630069">
          <w:marLeft w:val="0"/>
          <w:marRight w:val="0"/>
          <w:marTop w:val="0"/>
          <w:marBottom w:val="0"/>
          <w:divBdr>
            <w:top w:val="none" w:sz="0" w:space="0" w:color="auto"/>
            <w:left w:val="none" w:sz="0" w:space="0" w:color="auto"/>
            <w:bottom w:val="none" w:sz="0" w:space="0" w:color="auto"/>
            <w:right w:val="none" w:sz="0" w:space="0" w:color="auto"/>
          </w:divBdr>
          <w:divsChild>
            <w:div w:id="544686025">
              <w:marLeft w:val="-75"/>
              <w:marRight w:val="0"/>
              <w:marTop w:val="30"/>
              <w:marBottom w:val="30"/>
              <w:divBdr>
                <w:top w:val="none" w:sz="0" w:space="0" w:color="auto"/>
                <w:left w:val="none" w:sz="0" w:space="0" w:color="auto"/>
                <w:bottom w:val="none" w:sz="0" w:space="0" w:color="auto"/>
                <w:right w:val="none" w:sz="0" w:space="0" w:color="auto"/>
              </w:divBdr>
              <w:divsChild>
                <w:div w:id="1820341297">
                  <w:marLeft w:val="0"/>
                  <w:marRight w:val="0"/>
                  <w:marTop w:val="0"/>
                  <w:marBottom w:val="0"/>
                  <w:divBdr>
                    <w:top w:val="none" w:sz="0" w:space="0" w:color="auto"/>
                    <w:left w:val="none" w:sz="0" w:space="0" w:color="auto"/>
                    <w:bottom w:val="none" w:sz="0" w:space="0" w:color="auto"/>
                    <w:right w:val="none" w:sz="0" w:space="0" w:color="auto"/>
                  </w:divBdr>
                  <w:divsChild>
                    <w:div w:id="895505473">
                      <w:marLeft w:val="0"/>
                      <w:marRight w:val="0"/>
                      <w:marTop w:val="0"/>
                      <w:marBottom w:val="0"/>
                      <w:divBdr>
                        <w:top w:val="none" w:sz="0" w:space="0" w:color="auto"/>
                        <w:left w:val="none" w:sz="0" w:space="0" w:color="auto"/>
                        <w:bottom w:val="none" w:sz="0" w:space="0" w:color="auto"/>
                        <w:right w:val="none" w:sz="0" w:space="0" w:color="auto"/>
                      </w:divBdr>
                    </w:div>
                  </w:divsChild>
                </w:div>
                <w:div w:id="2064061798">
                  <w:marLeft w:val="0"/>
                  <w:marRight w:val="0"/>
                  <w:marTop w:val="0"/>
                  <w:marBottom w:val="0"/>
                  <w:divBdr>
                    <w:top w:val="none" w:sz="0" w:space="0" w:color="auto"/>
                    <w:left w:val="none" w:sz="0" w:space="0" w:color="auto"/>
                    <w:bottom w:val="none" w:sz="0" w:space="0" w:color="auto"/>
                    <w:right w:val="none" w:sz="0" w:space="0" w:color="auto"/>
                  </w:divBdr>
                  <w:divsChild>
                    <w:div w:id="1588685047">
                      <w:marLeft w:val="0"/>
                      <w:marRight w:val="0"/>
                      <w:marTop w:val="0"/>
                      <w:marBottom w:val="0"/>
                      <w:divBdr>
                        <w:top w:val="none" w:sz="0" w:space="0" w:color="auto"/>
                        <w:left w:val="none" w:sz="0" w:space="0" w:color="auto"/>
                        <w:bottom w:val="none" w:sz="0" w:space="0" w:color="auto"/>
                        <w:right w:val="none" w:sz="0" w:space="0" w:color="auto"/>
                      </w:divBdr>
                    </w:div>
                  </w:divsChild>
                </w:div>
                <w:div w:id="1918783078">
                  <w:marLeft w:val="0"/>
                  <w:marRight w:val="0"/>
                  <w:marTop w:val="0"/>
                  <w:marBottom w:val="0"/>
                  <w:divBdr>
                    <w:top w:val="none" w:sz="0" w:space="0" w:color="auto"/>
                    <w:left w:val="none" w:sz="0" w:space="0" w:color="auto"/>
                    <w:bottom w:val="none" w:sz="0" w:space="0" w:color="auto"/>
                    <w:right w:val="none" w:sz="0" w:space="0" w:color="auto"/>
                  </w:divBdr>
                  <w:divsChild>
                    <w:div w:id="1720548484">
                      <w:marLeft w:val="0"/>
                      <w:marRight w:val="0"/>
                      <w:marTop w:val="0"/>
                      <w:marBottom w:val="0"/>
                      <w:divBdr>
                        <w:top w:val="none" w:sz="0" w:space="0" w:color="auto"/>
                        <w:left w:val="none" w:sz="0" w:space="0" w:color="auto"/>
                        <w:bottom w:val="none" w:sz="0" w:space="0" w:color="auto"/>
                        <w:right w:val="none" w:sz="0" w:space="0" w:color="auto"/>
                      </w:divBdr>
                    </w:div>
                  </w:divsChild>
                </w:div>
                <w:div w:id="13307970">
                  <w:marLeft w:val="0"/>
                  <w:marRight w:val="0"/>
                  <w:marTop w:val="0"/>
                  <w:marBottom w:val="0"/>
                  <w:divBdr>
                    <w:top w:val="none" w:sz="0" w:space="0" w:color="auto"/>
                    <w:left w:val="none" w:sz="0" w:space="0" w:color="auto"/>
                    <w:bottom w:val="none" w:sz="0" w:space="0" w:color="auto"/>
                    <w:right w:val="none" w:sz="0" w:space="0" w:color="auto"/>
                  </w:divBdr>
                  <w:divsChild>
                    <w:div w:id="960459284">
                      <w:marLeft w:val="0"/>
                      <w:marRight w:val="0"/>
                      <w:marTop w:val="0"/>
                      <w:marBottom w:val="0"/>
                      <w:divBdr>
                        <w:top w:val="none" w:sz="0" w:space="0" w:color="auto"/>
                        <w:left w:val="none" w:sz="0" w:space="0" w:color="auto"/>
                        <w:bottom w:val="none" w:sz="0" w:space="0" w:color="auto"/>
                        <w:right w:val="none" w:sz="0" w:space="0" w:color="auto"/>
                      </w:divBdr>
                    </w:div>
                    <w:div w:id="632903436">
                      <w:marLeft w:val="0"/>
                      <w:marRight w:val="0"/>
                      <w:marTop w:val="0"/>
                      <w:marBottom w:val="0"/>
                      <w:divBdr>
                        <w:top w:val="none" w:sz="0" w:space="0" w:color="auto"/>
                        <w:left w:val="none" w:sz="0" w:space="0" w:color="auto"/>
                        <w:bottom w:val="none" w:sz="0" w:space="0" w:color="auto"/>
                        <w:right w:val="none" w:sz="0" w:space="0" w:color="auto"/>
                      </w:divBdr>
                    </w:div>
                    <w:div w:id="427116452">
                      <w:marLeft w:val="0"/>
                      <w:marRight w:val="0"/>
                      <w:marTop w:val="0"/>
                      <w:marBottom w:val="0"/>
                      <w:divBdr>
                        <w:top w:val="none" w:sz="0" w:space="0" w:color="auto"/>
                        <w:left w:val="none" w:sz="0" w:space="0" w:color="auto"/>
                        <w:bottom w:val="none" w:sz="0" w:space="0" w:color="auto"/>
                        <w:right w:val="none" w:sz="0" w:space="0" w:color="auto"/>
                      </w:divBdr>
                    </w:div>
                  </w:divsChild>
                </w:div>
                <w:div w:id="1239437838">
                  <w:marLeft w:val="0"/>
                  <w:marRight w:val="0"/>
                  <w:marTop w:val="0"/>
                  <w:marBottom w:val="0"/>
                  <w:divBdr>
                    <w:top w:val="none" w:sz="0" w:space="0" w:color="auto"/>
                    <w:left w:val="none" w:sz="0" w:space="0" w:color="auto"/>
                    <w:bottom w:val="none" w:sz="0" w:space="0" w:color="auto"/>
                    <w:right w:val="none" w:sz="0" w:space="0" w:color="auto"/>
                  </w:divBdr>
                  <w:divsChild>
                    <w:div w:id="1381637944">
                      <w:marLeft w:val="0"/>
                      <w:marRight w:val="0"/>
                      <w:marTop w:val="0"/>
                      <w:marBottom w:val="0"/>
                      <w:divBdr>
                        <w:top w:val="none" w:sz="0" w:space="0" w:color="auto"/>
                        <w:left w:val="none" w:sz="0" w:space="0" w:color="auto"/>
                        <w:bottom w:val="none" w:sz="0" w:space="0" w:color="auto"/>
                        <w:right w:val="none" w:sz="0" w:space="0" w:color="auto"/>
                      </w:divBdr>
                    </w:div>
                  </w:divsChild>
                </w:div>
                <w:div w:id="1600605308">
                  <w:marLeft w:val="0"/>
                  <w:marRight w:val="0"/>
                  <w:marTop w:val="0"/>
                  <w:marBottom w:val="0"/>
                  <w:divBdr>
                    <w:top w:val="none" w:sz="0" w:space="0" w:color="auto"/>
                    <w:left w:val="none" w:sz="0" w:space="0" w:color="auto"/>
                    <w:bottom w:val="none" w:sz="0" w:space="0" w:color="auto"/>
                    <w:right w:val="none" w:sz="0" w:space="0" w:color="auto"/>
                  </w:divBdr>
                  <w:divsChild>
                    <w:div w:id="1224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71601">
          <w:marLeft w:val="0"/>
          <w:marRight w:val="0"/>
          <w:marTop w:val="0"/>
          <w:marBottom w:val="0"/>
          <w:divBdr>
            <w:top w:val="none" w:sz="0" w:space="0" w:color="auto"/>
            <w:left w:val="none" w:sz="0" w:space="0" w:color="auto"/>
            <w:bottom w:val="none" w:sz="0" w:space="0" w:color="auto"/>
            <w:right w:val="none" w:sz="0" w:space="0" w:color="auto"/>
          </w:divBdr>
        </w:div>
        <w:div w:id="981233350">
          <w:marLeft w:val="0"/>
          <w:marRight w:val="0"/>
          <w:marTop w:val="0"/>
          <w:marBottom w:val="0"/>
          <w:divBdr>
            <w:top w:val="none" w:sz="0" w:space="0" w:color="auto"/>
            <w:left w:val="none" w:sz="0" w:space="0" w:color="auto"/>
            <w:bottom w:val="none" w:sz="0" w:space="0" w:color="auto"/>
            <w:right w:val="none" w:sz="0" w:space="0" w:color="auto"/>
          </w:divBdr>
          <w:divsChild>
            <w:div w:id="648900784">
              <w:marLeft w:val="-75"/>
              <w:marRight w:val="0"/>
              <w:marTop w:val="30"/>
              <w:marBottom w:val="30"/>
              <w:divBdr>
                <w:top w:val="none" w:sz="0" w:space="0" w:color="auto"/>
                <w:left w:val="none" w:sz="0" w:space="0" w:color="auto"/>
                <w:bottom w:val="none" w:sz="0" w:space="0" w:color="auto"/>
                <w:right w:val="none" w:sz="0" w:space="0" w:color="auto"/>
              </w:divBdr>
              <w:divsChild>
                <w:div w:id="65736892">
                  <w:marLeft w:val="0"/>
                  <w:marRight w:val="0"/>
                  <w:marTop w:val="0"/>
                  <w:marBottom w:val="0"/>
                  <w:divBdr>
                    <w:top w:val="none" w:sz="0" w:space="0" w:color="auto"/>
                    <w:left w:val="none" w:sz="0" w:space="0" w:color="auto"/>
                    <w:bottom w:val="none" w:sz="0" w:space="0" w:color="auto"/>
                    <w:right w:val="none" w:sz="0" w:space="0" w:color="auto"/>
                  </w:divBdr>
                  <w:divsChild>
                    <w:div w:id="791173103">
                      <w:marLeft w:val="0"/>
                      <w:marRight w:val="0"/>
                      <w:marTop w:val="0"/>
                      <w:marBottom w:val="0"/>
                      <w:divBdr>
                        <w:top w:val="none" w:sz="0" w:space="0" w:color="auto"/>
                        <w:left w:val="none" w:sz="0" w:space="0" w:color="auto"/>
                        <w:bottom w:val="none" w:sz="0" w:space="0" w:color="auto"/>
                        <w:right w:val="none" w:sz="0" w:space="0" w:color="auto"/>
                      </w:divBdr>
                    </w:div>
                  </w:divsChild>
                </w:div>
                <w:div w:id="1766338017">
                  <w:marLeft w:val="0"/>
                  <w:marRight w:val="0"/>
                  <w:marTop w:val="0"/>
                  <w:marBottom w:val="0"/>
                  <w:divBdr>
                    <w:top w:val="none" w:sz="0" w:space="0" w:color="auto"/>
                    <w:left w:val="none" w:sz="0" w:space="0" w:color="auto"/>
                    <w:bottom w:val="none" w:sz="0" w:space="0" w:color="auto"/>
                    <w:right w:val="none" w:sz="0" w:space="0" w:color="auto"/>
                  </w:divBdr>
                  <w:divsChild>
                    <w:div w:id="341932473">
                      <w:marLeft w:val="0"/>
                      <w:marRight w:val="0"/>
                      <w:marTop w:val="0"/>
                      <w:marBottom w:val="0"/>
                      <w:divBdr>
                        <w:top w:val="none" w:sz="0" w:space="0" w:color="auto"/>
                        <w:left w:val="none" w:sz="0" w:space="0" w:color="auto"/>
                        <w:bottom w:val="none" w:sz="0" w:space="0" w:color="auto"/>
                        <w:right w:val="none" w:sz="0" w:space="0" w:color="auto"/>
                      </w:divBdr>
                    </w:div>
                  </w:divsChild>
                </w:div>
                <w:div w:id="127745011">
                  <w:marLeft w:val="0"/>
                  <w:marRight w:val="0"/>
                  <w:marTop w:val="0"/>
                  <w:marBottom w:val="0"/>
                  <w:divBdr>
                    <w:top w:val="none" w:sz="0" w:space="0" w:color="auto"/>
                    <w:left w:val="none" w:sz="0" w:space="0" w:color="auto"/>
                    <w:bottom w:val="none" w:sz="0" w:space="0" w:color="auto"/>
                    <w:right w:val="none" w:sz="0" w:space="0" w:color="auto"/>
                  </w:divBdr>
                  <w:divsChild>
                    <w:div w:id="926842772">
                      <w:marLeft w:val="0"/>
                      <w:marRight w:val="0"/>
                      <w:marTop w:val="0"/>
                      <w:marBottom w:val="0"/>
                      <w:divBdr>
                        <w:top w:val="none" w:sz="0" w:space="0" w:color="auto"/>
                        <w:left w:val="none" w:sz="0" w:space="0" w:color="auto"/>
                        <w:bottom w:val="none" w:sz="0" w:space="0" w:color="auto"/>
                        <w:right w:val="none" w:sz="0" w:space="0" w:color="auto"/>
                      </w:divBdr>
                    </w:div>
                  </w:divsChild>
                </w:div>
                <w:div w:id="98645402">
                  <w:marLeft w:val="0"/>
                  <w:marRight w:val="0"/>
                  <w:marTop w:val="0"/>
                  <w:marBottom w:val="0"/>
                  <w:divBdr>
                    <w:top w:val="none" w:sz="0" w:space="0" w:color="auto"/>
                    <w:left w:val="none" w:sz="0" w:space="0" w:color="auto"/>
                    <w:bottom w:val="none" w:sz="0" w:space="0" w:color="auto"/>
                    <w:right w:val="none" w:sz="0" w:space="0" w:color="auto"/>
                  </w:divBdr>
                  <w:divsChild>
                    <w:div w:id="1717729386">
                      <w:marLeft w:val="0"/>
                      <w:marRight w:val="0"/>
                      <w:marTop w:val="0"/>
                      <w:marBottom w:val="0"/>
                      <w:divBdr>
                        <w:top w:val="none" w:sz="0" w:space="0" w:color="auto"/>
                        <w:left w:val="none" w:sz="0" w:space="0" w:color="auto"/>
                        <w:bottom w:val="none" w:sz="0" w:space="0" w:color="auto"/>
                        <w:right w:val="none" w:sz="0" w:space="0" w:color="auto"/>
                      </w:divBdr>
                    </w:div>
                    <w:div w:id="755596501">
                      <w:marLeft w:val="0"/>
                      <w:marRight w:val="0"/>
                      <w:marTop w:val="0"/>
                      <w:marBottom w:val="0"/>
                      <w:divBdr>
                        <w:top w:val="none" w:sz="0" w:space="0" w:color="auto"/>
                        <w:left w:val="none" w:sz="0" w:space="0" w:color="auto"/>
                        <w:bottom w:val="none" w:sz="0" w:space="0" w:color="auto"/>
                        <w:right w:val="none" w:sz="0" w:space="0" w:color="auto"/>
                      </w:divBdr>
                    </w:div>
                    <w:div w:id="707144752">
                      <w:marLeft w:val="0"/>
                      <w:marRight w:val="0"/>
                      <w:marTop w:val="0"/>
                      <w:marBottom w:val="0"/>
                      <w:divBdr>
                        <w:top w:val="none" w:sz="0" w:space="0" w:color="auto"/>
                        <w:left w:val="none" w:sz="0" w:space="0" w:color="auto"/>
                        <w:bottom w:val="none" w:sz="0" w:space="0" w:color="auto"/>
                        <w:right w:val="none" w:sz="0" w:space="0" w:color="auto"/>
                      </w:divBdr>
                    </w:div>
                    <w:div w:id="1328897649">
                      <w:marLeft w:val="0"/>
                      <w:marRight w:val="0"/>
                      <w:marTop w:val="0"/>
                      <w:marBottom w:val="0"/>
                      <w:divBdr>
                        <w:top w:val="none" w:sz="0" w:space="0" w:color="auto"/>
                        <w:left w:val="none" w:sz="0" w:space="0" w:color="auto"/>
                        <w:bottom w:val="none" w:sz="0" w:space="0" w:color="auto"/>
                        <w:right w:val="none" w:sz="0" w:space="0" w:color="auto"/>
                      </w:divBdr>
                    </w:div>
                    <w:div w:id="887455680">
                      <w:marLeft w:val="0"/>
                      <w:marRight w:val="0"/>
                      <w:marTop w:val="0"/>
                      <w:marBottom w:val="0"/>
                      <w:divBdr>
                        <w:top w:val="none" w:sz="0" w:space="0" w:color="auto"/>
                        <w:left w:val="none" w:sz="0" w:space="0" w:color="auto"/>
                        <w:bottom w:val="none" w:sz="0" w:space="0" w:color="auto"/>
                        <w:right w:val="none" w:sz="0" w:space="0" w:color="auto"/>
                      </w:divBdr>
                    </w:div>
                  </w:divsChild>
                </w:div>
                <w:div w:id="1655453601">
                  <w:marLeft w:val="0"/>
                  <w:marRight w:val="0"/>
                  <w:marTop w:val="0"/>
                  <w:marBottom w:val="0"/>
                  <w:divBdr>
                    <w:top w:val="none" w:sz="0" w:space="0" w:color="auto"/>
                    <w:left w:val="none" w:sz="0" w:space="0" w:color="auto"/>
                    <w:bottom w:val="none" w:sz="0" w:space="0" w:color="auto"/>
                    <w:right w:val="none" w:sz="0" w:space="0" w:color="auto"/>
                  </w:divBdr>
                  <w:divsChild>
                    <w:div w:id="1690720141">
                      <w:marLeft w:val="0"/>
                      <w:marRight w:val="0"/>
                      <w:marTop w:val="0"/>
                      <w:marBottom w:val="0"/>
                      <w:divBdr>
                        <w:top w:val="none" w:sz="0" w:space="0" w:color="auto"/>
                        <w:left w:val="none" w:sz="0" w:space="0" w:color="auto"/>
                        <w:bottom w:val="none" w:sz="0" w:space="0" w:color="auto"/>
                        <w:right w:val="none" w:sz="0" w:space="0" w:color="auto"/>
                      </w:divBdr>
                    </w:div>
                  </w:divsChild>
                </w:div>
                <w:div w:id="1706058218">
                  <w:marLeft w:val="0"/>
                  <w:marRight w:val="0"/>
                  <w:marTop w:val="0"/>
                  <w:marBottom w:val="0"/>
                  <w:divBdr>
                    <w:top w:val="none" w:sz="0" w:space="0" w:color="auto"/>
                    <w:left w:val="none" w:sz="0" w:space="0" w:color="auto"/>
                    <w:bottom w:val="none" w:sz="0" w:space="0" w:color="auto"/>
                    <w:right w:val="none" w:sz="0" w:space="0" w:color="auto"/>
                  </w:divBdr>
                  <w:divsChild>
                    <w:div w:id="805509321">
                      <w:marLeft w:val="0"/>
                      <w:marRight w:val="0"/>
                      <w:marTop w:val="0"/>
                      <w:marBottom w:val="0"/>
                      <w:divBdr>
                        <w:top w:val="none" w:sz="0" w:space="0" w:color="auto"/>
                        <w:left w:val="none" w:sz="0" w:space="0" w:color="auto"/>
                        <w:bottom w:val="none" w:sz="0" w:space="0" w:color="auto"/>
                        <w:right w:val="none" w:sz="0" w:space="0" w:color="auto"/>
                      </w:divBdr>
                    </w:div>
                  </w:divsChild>
                </w:div>
                <w:div w:id="296181113">
                  <w:marLeft w:val="0"/>
                  <w:marRight w:val="0"/>
                  <w:marTop w:val="0"/>
                  <w:marBottom w:val="0"/>
                  <w:divBdr>
                    <w:top w:val="none" w:sz="0" w:space="0" w:color="auto"/>
                    <w:left w:val="none" w:sz="0" w:space="0" w:color="auto"/>
                    <w:bottom w:val="none" w:sz="0" w:space="0" w:color="auto"/>
                    <w:right w:val="none" w:sz="0" w:space="0" w:color="auto"/>
                  </w:divBdr>
                  <w:divsChild>
                    <w:div w:id="2062942652">
                      <w:marLeft w:val="0"/>
                      <w:marRight w:val="0"/>
                      <w:marTop w:val="0"/>
                      <w:marBottom w:val="0"/>
                      <w:divBdr>
                        <w:top w:val="none" w:sz="0" w:space="0" w:color="auto"/>
                        <w:left w:val="none" w:sz="0" w:space="0" w:color="auto"/>
                        <w:bottom w:val="none" w:sz="0" w:space="0" w:color="auto"/>
                        <w:right w:val="none" w:sz="0" w:space="0" w:color="auto"/>
                      </w:divBdr>
                    </w:div>
                  </w:divsChild>
                </w:div>
                <w:div w:id="1819884504">
                  <w:marLeft w:val="0"/>
                  <w:marRight w:val="0"/>
                  <w:marTop w:val="0"/>
                  <w:marBottom w:val="0"/>
                  <w:divBdr>
                    <w:top w:val="none" w:sz="0" w:space="0" w:color="auto"/>
                    <w:left w:val="none" w:sz="0" w:space="0" w:color="auto"/>
                    <w:bottom w:val="none" w:sz="0" w:space="0" w:color="auto"/>
                    <w:right w:val="none" w:sz="0" w:space="0" w:color="auto"/>
                  </w:divBdr>
                  <w:divsChild>
                    <w:div w:id="21276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39164">
          <w:marLeft w:val="0"/>
          <w:marRight w:val="0"/>
          <w:marTop w:val="0"/>
          <w:marBottom w:val="0"/>
          <w:divBdr>
            <w:top w:val="none" w:sz="0" w:space="0" w:color="auto"/>
            <w:left w:val="none" w:sz="0" w:space="0" w:color="auto"/>
            <w:bottom w:val="none" w:sz="0" w:space="0" w:color="auto"/>
            <w:right w:val="none" w:sz="0" w:space="0" w:color="auto"/>
          </w:divBdr>
        </w:div>
        <w:div w:id="881484043">
          <w:marLeft w:val="0"/>
          <w:marRight w:val="0"/>
          <w:marTop w:val="0"/>
          <w:marBottom w:val="0"/>
          <w:divBdr>
            <w:top w:val="none" w:sz="0" w:space="0" w:color="auto"/>
            <w:left w:val="none" w:sz="0" w:space="0" w:color="auto"/>
            <w:bottom w:val="none" w:sz="0" w:space="0" w:color="auto"/>
            <w:right w:val="none" w:sz="0" w:space="0" w:color="auto"/>
          </w:divBdr>
        </w:div>
        <w:div w:id="159850001">
          <w:marLeft w:val="0"/>
          <w:marRight w:val="0"/>
          <w:marTop w:val="0"/>
          <w:marBottom w:val="0"/>
          <w:divBdr>
            <w:top w:val="none" w:sz="0" w:space="0" w:color="auto"/>
            <w:left w:val="none" w:sz="0" w:space="0" w:color="auto"/>
            <w:bottom w:val="none" w:sz="0" w:space="0" w:color="auto"/>
            <w:right w:val="none" w:sz="0" w:space="0" w:color="auto"/>
          </w:divBdr>
        </w:div>
        <w:div w:id="200172474">
          <w:marLeft w:val="0"/>
          <w:marRight w:val="0"/>
          <w:marTop w:val="0"/>
          <w:marBottom w:val="0"/>
          <w:divBdr>
            <w:top w:val="none" w:sz="0" w:space="0" w:color="auto"/>
            <w:left w:val="none" w:sz="0" w:space="0" w:color="auto"/>
            <w:bottom w:val="none" w:sz="0" w:space="0" w:color="auto"/>
            <w:right w:val="none" w:sz="0" w:space="0" w:color="auto"/>
          </w:divBdr>
        </w:div>
        <w:div w:id="1899052135">
          <w:marLeft w:val="0"/>
          <w:marRight w:val="0"/>
          <w:marTop w:val="0"/>
          <w:marBottom w:val="0"/>
          <w:divBdr>
            <w:top w:val="none" w:sz="0" w:space="0" w:color="auto"/>
            <w:left w:val="none" w:sz="0" w:space="0" w:color="auto"/>
            <w:bottom w:val="none" w:sz="0" w:space="0" w:color="auto"/>
            <w:right w:val="none" w:sz="0" w:space="0" w:color="auto"/>
          </w:divBdr>
        </w:div>
        <w:div w:id="1610316491">
          <w:marLeft w:val="0"/>
          <w:marRight w:val="0"/>
          <w:marTop w:val="0"/>
          <w:marBottom w:val="0"/>
          <w:divBdr>
            <w:top w:val="none" w:sz="0" w:space="0" w:color="auto"/>
            <w:left w:val="none" w:sz="0" w:space="0" w:color="auto"/>
            <w:bottom w:val="none" w:sz="0" w:space="0" w:color="auto"/>
            <w:right w:val="none" w:sz="0" w:space="0" w:color="auto"/>
          </w:divBdr>
        </w:div>
        <w:div w:id="2104035808">
          <w:marLeft w:val="0"/>
          <w:marRight w:val="0"/>
          <w:marTop w:val="0"/>
          <w:marBottom w:val="0"/>
          <w:divBdr>
            <w:top w:val="none" w:sz="0" w:space="0" w:color="auto"/>
            <w:left w:val="none" w:sz="0" w:space="0" w:color="auto"/>
            <w:bottom w:val="none" w:sz="0" w:space="0" w:color="auto"/>
            <w:right w:val="none" w:sz="0" w:space="0" w:color="auto"/>
          </w:divBdr>
        </w:div>
        <w:div w:id="1448698742">
          <w:marLeft w:val="0"/>
          <w:marRight w:val="0"/>
          <w:marTop w:val="0"/>
          <w:marBottom w:val="0"/>
          <w:divBdr>
            <w:top w:val="none" w:sz="0" w:space="0" w:color="auto"/>
            <w:left w:val="none" w:sz="0" w:space="0" w:color="auto"/>
            <w:bottom w:val="none" w:sz="0" w:space="0" w:color="auto"/>
            <w:right w:val="none" w:sz="0" w:space="0" w:color="auto"/>
          </w:divBdr>
        </w:div>
        <w:div w:id="1487699445">
          <w:marLeft w:val="0"/>
          <w:marRight w:val="0"/>
          <w:marTop w:val="0"/>
          <w:marBottom w:val="0"/>
          <w:divBdr>
            <w:top w:val="none" w:sz="0" w:space="0" w:color="auto"/>
            <w:left w:val="none" w:sz="0" w:space="0" w:color="auto"/>
            <w:bottom w:val="none" w:sz="0" w:space="0" w:color="auto"/>
            <w:right w:val="none" w:sz="0" w:space="0" w:color="auto"/>
          </w:divBdr>
        </w:div>
        <w:div w:id="1439063032">
          <w:marLeft w:val="0"/>
          <w:marRight w:val="0"/>
          <w:marTop w:val="0"/>
          <w:marBottom w:val="0"/>
          <w:divBdr>
            <w:top w:val="none" w:sz="0" w:space="0" w:color="auto"/>
            <w:left w:val="none" w:sz="0" w:space="0" w:color="auto"/>
            <w:bottom w:val="none" w:sz="0" w:space="0" w:color="auto"/>
            <w:right w:val="none" w:sz="0" w:space="0" w:color="auto"/>
          </w:divBdr>
        </w:div>
      </w:divsChild>
    </w:div>
    <w:div w:id="1884167919">
      <w:bodyDiv w:val="1"/>
      <w:marLeft w:val="0"/>
      <w:marRight w:val="0"/>
      <w:marTop w:val="0"/>
      <w:marBottom w:val="0"/>
      <w:divBdr>
        <w:top w:val="none" w:sz="0" w:space="0" w:color="auto"/>
        <w:left w:val="none" w:sz="0" w:space="0" w:color="auto"/>
        <w:bottom w:val="none" w:sz="0" w:space="0" w:color="auto"/>
        <w:right w:val="none" w:sz="0" w:space="0" w:color="auto"/>
      </w:divBdr>
    </w:div>
    <w:div w:id="20763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Users\vitkovamarke\Desktop\EUMSMT-Barevne\EU+M&#352;MT%20Barevn&#233;\EU+M&#352;MT%20Barevn&#233;%20RGB.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835BA-9D82-4AFA-9728-1778DF1D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414</Words>
  <Characters>2445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Vítková</dc:creator>
  <cp:keywords/>
  <dc:description/>
  <cp:lastModifiedBy>Markéta Vítková</cp:lastModifiedBy>
  <cp:revision>13</cp:revision>
  <dcterms:created xsi:type="dcterms:W3CDTF">2025-09-15T07:26:00Z</dcterms:created>
  <dcterms:modified xsi:type="dcterms:W3CDTF">2025-10-22T13:34:00Z</dcterms:modified>
</cp:coreProperties>
</file>