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4" w:rsidRPr="00380878" w:rsidRDefault="006E1314" w:rsidP="00380878">
      <w:pPr>
        <w:pStyle w:val="Nadpis1"/>
        <w:spacing w:line="312" w:lineRule="auto"/>
        <w:rPr>
          <w:color w:val="000000" w:themeColor="text1"/>
          <w:sz w:val="24"/>
          <w:szCs w:val="24"/>
        </w:rPr>
      </w:pPr>
      <w:bookmarkStart w:id="0" w:name="_Toc523489303"/>
      <w:bookmarkStart w:id="1" w:name="_Toc524949646"/>
      <w:bookmarkStart w:id="2" w:name="_Toc531326628"/>
      <w:r w:rsidRPr="00380878">
        <w:rPr>
          <w:color w:val="000000" w:themeColor="text1"/>
          <w:sz w:val="24"/>
          <w:szCs w:val="24"/>
        </w:rPr>
        <w:t xml:space="preserve">28. </w:t>
      </w:r>
      <w:proofErr w:type="spellStart"/>
      <w:r w:rsidRPr="00380878">
        <w:rPr>
          <w:color w:val="000000" w:themeColor="text1"/>
          <w:sz w:val="24"/>
          <w:szCs w:val="24"/>
        </w:rPr>
        <w:t>Plužiny</w:t>
      </w:r>
      <w:proofErr w:type="spellEnd"/>
      <w:r w:rsidRPr="00380878">
        <w:rPr>
          <w:color w:val="000000" w:themeColor="text1"/>
          <w:sz w:val="24"/>
          <w:szCs w:val="24"/>
        </w:rPr>
        <w:t xml:space="preserve"> jako zhmotnění institucí</w:t>
      </w:r>
      <w:bookmarkEnd w:id="0"/>
      <w:bookmarkEnd w:id="1"/>
      <w:bookmarkEnd w:id="2"/>
    </w:p>
    <w:p w:rsidR="006E1314" w:rsidRPr="00151FAF" w:rsidRDefault="006E1314" w:rsidP="00380878">
      <w:pPr>
        <w:spacing w:line="312" w:lineRule="auto"/>
        <w:jc w:val="both"/>
        <w:rPr>
          <w:color w:val="000000" w:themeColor="text1"/>
        </w:rPr>
      </w:pPr>
    </w:p>
    <w:p w:rsidR="006E1314" w:rsidRPr="00151FAF" w:rsidRDefault="006E1314" w:rsidP="00380878">
      <w:pPr>
        <w:spacing w:line="312" w:lineRule="auto"/>
        <w:jc w:val="both"/>
        <w:rPr>
          <w:color w:val="000000" w:themeColor="text1"/>
        </w:rPr>
      </w:pPr>
      <w:r w:rsidRPr="00151FAF">
        <w:rPr>
          <w:color w:val="000000" w:themeColor="text1"/>
        </w:rPr>
        <w:t xml:space="preserve">Podoba </w:t>
      </w:r>
      <w:proofErr w:type="spellStart"/>
      <w:r w:rsidRPr="00151FAF">
        <w:rPr>
          <w:color w:val="000000" w:themeColor="text1"/>
        </w:rPr>
        <w:t>plužiny</w:t>
      </w:r>
      <w:proofErr w:type="spellEnd"/>
      <w:r w:rsidRPr="00151FAF">
        <w:rPr>
          <w:color w:val="000000" w:themeColor="text1"/>
        </w:rPr>
        <w:t>, tj. fyzická organizace zemědělského zázemí sídlišť, odrážela vzájemně provázané vnější faktory, jako byly (1) ekologické podmínky, (2) agrární technologie, (3) demografické a sociální faktory, a (4) tržní faktory, zejména míra komercionalizace.</w:t>
      </w:r>
      <w:r w:rsidRPr="00151FAF">
        <w:rPr>
          <w:rStyle w:val="Znakapoznpodarou"/>
          <w:color w:val="000000" w:themeColor="text1"/>
        </w:rPr>
        <w:footnoteReference w:id="1"/>
      </w:r>
      <w:r w:rsidRPr="00151FAF">
        <w:rPr>
          <w:color w:val="000000" w:themeColor="text1"/>
        </w:rPr>
        <w:t xml:space="preserve"> Tyto síly nepůsobily přímo, ale zprostředkovaně skrz lokální agrární instituce, kterými rozumíme různě kodifikované zvyky a pravidla užívání, držby a transferu zemědělské půdy.</w:t>
      </w:r>
      <w:r w:rsidRPr="00151FAF">
        <w:rPr>
          <w:rStyle w:val="Znakapoznpodarou"/>
          <w:color w:val="000000" w:themeColor="text1"/>
        </w:rPr>
        <w:footnoteReference w:id="2"/>
      </w:r>
      <w:r w:rsidRPr="00151FAF">
        <w:rPr>
          <w:color w:val="000000" w:themeColor="text1"/>
        </w:rPr>
        <w:t xml:space="preserve"> Agrární instituce byly sociálním filtrem, jenž určoval, jaké faktory se do podoby </w:t>
      </w:r>
      <w:proofErr w:type="spellStart"/>
      <w:r w:rsidRPr="00151FAF">
        <w:rPr>
          <w:color w:val="000000" w:themeColor="text1"/>
        </w:rPr>
        <w:t>plužiny</w:t>
      </w:r>
      <w:proofErr w:type="spellEnd"/>
      <w:r w:rsidRPr="00151FAF">
        <w:rPr>
          <w:color w:val="000000" w:themeColor="text1"/>
        </w:rPr>
        <w:t xml:space="preserve"> promítnou a jaké nikoliv. </w:t>
      </w:r>
    </w:p>
    <w:p w:rsidR="006E1314" w:rsidRPr="00151FAF" w:rsidRDefault="006E1314" w:rsidP="00380878">
      <w:pPr>
        <w:spacing w:line="312" w:lineRule="auto"/>
        <w:jc w:val="both"/>
        <w:rPr>
          <w:color w:val="000000" w:themeColor="text1"/>
        </w:rPr>
      </w:pPr>
      <w:r w:rsidRPr="00151FAF">
        <w:rPr>
          <w:color w:val="000000" w:themeColor="text1"/>
        </w:rPr>
        <w:t>Na klíčový význam lokálních agrárních institucí (dále jen lokální instituce) upozorňovaly již starší agrární dějiny a geografie, nicméně nový význam jejich studium získalo s prosazením přístupů nové institucionální ekonomie v hospodářských dějinách. Nová institucionální ekonomie vychází z premis a modelů neoklasické ekonomie, do nichž ale navíc začleňuje různé typy institucí a jejich vliv na tzv. transakční náklady, kterými je společností zatěžována každá produkce i směna.</w:t>
      </w:r>
      <w:r w:rsidRPr="00151FAF">
        <w:rPr>
          <w:rStyle w:val="Znakapoznpodarou"/>
          <w:color w:val="000000" w:themeColor="text1"/>
        </w:rPr>
        <w:footnoteReference w:id="3"/>
      </w:r>
      <w:r w:rsidRPr="00151FAF">
        <w:rPr>
          <w:color w:val="000000" w:themeColor="text1"/>
        </w:rPr>
        <w:t xml:space="preserve"> Některé instituce mohou transakční náklady snižovat, jiné zvyšovat. Instituce by tak měly hrát klíčovou roli v ekonomickém vývoji, agrární revoluci a přechodu ke kapitalistickému způsobu hospodaření, tedy toho, co charakterizovalo hospodářský vzestup některých evropských regionů v raném novověku a počátky „moderního západu“.</w:t>
      </w:r>
      <w:r w:rsidRPr="00151FAF">
        <w:rPr>
          <w:rStyle w:val="Znakapoznpodarou"/>
          <w:color w:val="000000" w:themeColor="text1"/>
        </w:rPr>
        <w:footnoteReference w:id="4"/>
      </w:r>
      <w:r w:rsidRPr="00151FAF">
        <w:rPr>
          <w:color w:val="000000" w:themeColor="text1"/>
        </w:rPr>
        <w:t xml:space="preserve"> Pozornost ekonomů a historiků se zprvu soustřeďovala na vliv třídních vztahů a státních (veřejných) institucí, jak v </w:t>
      </w:r>
      <w:proofErr w:type="gramStart"/>
      <w:r w:rsidRPr="00151FAF">
        <w:rPr>
          <w:color w:val="000000" w:themeColor="text1"/>
        </w:rPr>
        <w:t>70.–80</w:t>
      </w:r>
      <w:proofErr w:type="gramEnd"/>
      <w:r w:rsidRPr="00151FAF">
        <w:rPr>
          <w:color w:val="000000" w:themeColor="text1"/>
        </w:rPr>
        <w:t xml:space="preserve">. letech ztělesnila i tzv. </w:t>
      </w:r>
      <w:proofErr w:type="spellStart"/>
      <w:r w:rsidRPr="00151FAF">
        <w:rPr>
          <w:color w:val="000000" w:themeColor="text1"/>
        </w:rPr>
        <w:t>Brennerova</w:t>
      </w:r>
      <w:proofErr w:type="spellEnd"/>
      <w:r w:rsidRPr="00151FAF">
        <w:rPr>
          <w:color w:val="000000" w:themeColor="text1"/>
        </w:rPr>
        <w:t xml:space="preserve"> debata.</w:t>
      </w:r>
      <w:r w:rsidRPr="00151FAF">
        <w:rPr>
          <w:rStyle w:val="Znakapoznpodarou"/>
          <w:color w:val="000000" w:themeColor="text1"/>
        </w:rPr>
        <w:footnoteReference w:id="5"/>
      </w:r>
      <w:r w:rsidRPr="00151FAF">
        <w:rPr>
          <w:color w:val="000000" w:themeColor="text1"/>
        </w:rPr>
        <w:t xml:space="preserve"> Teprve od 90. let se zájem více posouval i k dalším typům institucí.</w:t>
      </w:r>
    </w:p>
    <w:p w:rsidR="006E1314" w:rsidRPr="00151FAF" w:rsidRDefault="006E1314" w:rsidP="00380878">
      <w:pPr>
        <w:spacing w:line="312" w:lineRule="auto"/>
        <w:jc w:val="both"/>
        <w:rPr>
          <w:color w:val="000000" w:themeColor="text1"/>
        </w:rPr>
      </w:pPr>
      <w:r w:rsidRPr="00151FAF">
        <w:rPr>
          <w:color w:val="000000" w:themeColor="text1"/>
        </w:rPr>
        <w:t xml:space="preserve">V radikálním pojetí socioložky </w:t>
      </w:r>
      <w:proofErr w:type="spellStart"/>
      <w:r w:rsidRPr="00151FAF">
        <w:rPr>
          <w:color w:val="000000" w:themeColor="text1"/>
        </w:rPr>
        <w:t>Rosemary</w:t>
      </w:r>
      <w:proofErr w:type="spellEnd"/>
      <w:r w:rsidRPr="00151FAF">
        <w:rPr>
          <w:color w:val="000000" w:themeColor="text1"/>
        </w:rPr>
        <w:t xml:space="preserve"> L. </w:t>
      </w:r>
      <w:proofErr w:type="spellStart"/>
      <w:r w:rsidRPr="00151FAF">
        <w:rPr>
          <w:color w:val="000000" w:themeColor="text1"/>
        </w:rPr>
        <w:t>Hopcroftové</w:t>
      </w:r>
      <w:proofErr w:type="spellEnd"/>
      <w:r w:rsidRPr="00151FAF">
        <w:rPr>
          <w:color w:val="000000" w:themeColor="text1"/>
        </w:rPr>
        <w:t xml:space="preserve"> právě lokální instituce utvářely podobu </w:t>
      </w:r>
      <w:proofErr w:type="spellStart"/>
      <w:r w:rsidRPr="00151FAF">
        <w:rPr>
          <w:color w:val="000000" w:themeColor="text1"/>
        </w:rPr>
        <w:t>plužin</w:t>
      </w:r>
      <w:proofErr w:type="spellEnd"/>
      <w:r w:rsidRPr="00151FAF">
        <w:rPr>
          <w:color w:val="000000" w:themeColor="text1"/>
        </w:rPr>
        <w:t xml:space="preserve">, tj. polních systémů, a ty zase ovlivňovaly transakční náklady spojené se zemědělskou výrobou a směnou. Vztah byl ale oboustranný, podoba </w:t>
      </w:r>
      <w:proofErr w:type="spellStart"/>
      <w:r w:rsidRPr="00151FAF">
        <w:rPr>
          <w:color w:val="000000" w:themeColor="text1"/>
        </w:rPr>
        <w:t>plužin</w:t>
      </w:r>
      <w:proofErr w:type="spellEnd"/>
      <w:r w:rsidRPr="00151FAF">
        <w:rPr>
          <w:color w:val="000000" w:themeColor="text1"/>
        </w:rPr>
        <w:t xml:space="preserve"> zároveň stabilizovala povahu lokálních institucí. V návaznosti na předchozí evropské agrárně historické a geografické bádání R. </w:t>
      </w:r>
      <w:proofErr w:type="spellStart"/>
      <w:r w:rsidRPr="00151FAF">
        <w:rPr>
          <w:color w:val="000000" w:themeColor="text1"/>
        </w:rPr>
        <w:t>Hopcroftová</w:t>
      </w:r>
      <w:proofErr w:type="spellEnd"/>
      <w:r w:rsidRPr="00151FAF">
        <w:rPr>
          <w:color w:val="000000" w:themeColor="text1"/>
        </w:rPr>
        <w:t xml:space="preserve"> vyzdvihla rozdíl mezi (1) lokálními institucemi, jež regulovaly individuální hospodářská rozhodnutí a neposkytovaly plná dispoziční práva pro držbu půdy, a (2) institucemi, které zajišťovaly jasná a exkluzivní práva držby a umožňovaly individuální svobodná hospodářská rozhodnutí. Prvá skupina lokálních institucí, zhmotnělá tzv. komunálními </w:t>
      </w:r>
      <w:proofErr w:type="spellStart"/>
      <w:r w:rsidRPr="00151FAF">
        <w:rPr>
          <w:color w:val="000000" w:themeColor="text1"/>
        </w:rPr>
        <w:t>plužinami</w:t>
      </w:r>
      <w:proofErr w:type="spellEnd"/>
      <w:r w:rsidRPr="00151FAF">
        <w:rPr>
          <w:color w:val="000000" w:themeColor="text1"/>
        </w:rPr>
        <w:t xml:space="preserve">, měla zvyšovat transakční náklady, vést k nižším investicím do obdělání půdy, bránit inovacím, chránit před tržními podněty a udržovat stagnující zemědělskou produkci. Druhá skupina institucí, fyzicky vyjádřená méně komunálními až individualisticky koncipovanými </w:t>
      </w:r>
      <w:proofErr w:type="spellStart"/>
      <w:r w:rsidRPr="00151FAF">
        <w:rPr>
          <w:color w:val="000000" w:themeColor="text1"/>
        </w:rPr>
        <w:t>plužinami</w:t>
      </w:r>
      <w:proofErr w:type="spellEnd"/>
      <w:r w:rsidRPr="00151FAF">
        <w:rPr>
          <w:color w:val="000000" w:themeColor="text1"/>
        </w:rPr>
        <w:t xml:space="preserve">, měla působit opačně. Lokální instituce nepůsobily na ekonomický </w:t>
      </w:r>
      <w:r w:rsidRPr="00151FAF">
        <w:rPr>
          <w:color w:val="000000" w:themeColor="text1"/>
        </w:rPr>
        <w:lastRenderedPageBreak/>
        <w:t xml:space="preserve">vývoj izolovaně, ale ve vzájemné souhře s jinými silami jako byly třídní vztahy, státní instituce, přírodní podmínky nebo tržní poptávka. V modelu příčinných souvislostí R. </w:t>
      </w:r>
      <w:proofErr w:type="spellStart"/>
      <w:r w:rsidRPr="00151FAF">
        <w:rPr>
          <w:color w:val="000000" w:themeColor="text1"/>
        </w:rPr>
        <w:t>Hopcroftové</w:t>
      </w:r>
      <w:proofErr w:type="spellEnd"/>
      <w:r w:rsidRPr="00151FAF">
        <w:rPr>
          <w:color w:val="000000" w:themeColor="text1"/>
        </w:rPr>
        <w:t xml:space="preserve"> nicméně lokálním institucím připadl určující vliv, neboť jako poslední článek v řetězci rozhodovaly o tom, zda příznivá konstelace ostatních faktorů povede k agrárnímu růstu, či nikoliv. Slabá feudální kontrola, nízká pozemková renta, příznivý vliv státních institucí, dobré podmínky pro zemědělskou výrobu, hustá populace, tržní poptávka a odbytové možnosti mohly vést k agrární revoluci a hospodářskému růstu pouze tehdy, pokud jejich vlivu na rolnictvo jako nejvýznamnější zemědělské producenty nezabránily svazující lokální instituce. Měly to tedy být vnitřní rozdílnosti v organizaci rolnických komunit, neboli rozdílná institucionální geografie pozdně středověké Evropy, které vedly k regionálně rozrůzněnému ekonomickému vývoji v raném novověku.</w:t>
      </w:r>
      <w:r w:rsidRPr="00151FAF">
        <w:rPr>
          <w:rStyle w:val="Znakapoznpodarou"/>
          <w:color w:val="000000" w:themeColor="text1"/>
        </w:rPr>
        <w:footnoteReference w:id="6"/>
      </w:r>
      <w:r w:rsidRPr="00151FAF">
        <w:rPr>
          <w:color w:val="000000" w:themeColor="text1"/>
        </w:rPr>
        <w:t xml:space="preserve"> </w:t>
      </w:r>
    </w:p>
    <w:p w:rsidR="006E1314" w:rsidRPr="00151FAF" w:rsidRDefault="006E1314" w:rsidP="00380878">
      <w:pPr>
        <w:spacing w:line="312" w:lineRule="auto"/>
        <w:jc w:val="both"/>
        <w:rPr>
          <w:color w:val="000000" w:themeColor="text1"/>
        </w:rPr>
      </w:pPr>
      <w:r w:rsidRPr="00151FAF">
        <w:rPr>
          <w:color w:val="000000" w:themeColor="text1"/>
        </w:rPr>
        <w:t xml:space="preserve">Na tomto místě můžeme ponechat stranou diskuzi o výsledcích R. </w:t>
      </w:r>
      <w:proofErr w:type="spellStart"/>
      <w:r w:rsidRPr="00151FAF">
        <w:rPr>
          <w:color w:val="000000" w:themeColor="text1"/>
        </w:rPr>
        <w:t>Hopcroftové</w:t>
      </w:r>
      <w:proofErr w:type="spellEnd"/>
      <w:r w:rsidRPr="00151FAF">
        <w:rPr>
          <w:color w:val="000000" w:themeColor="text1"/>
        </w:rPr>
        <w:t xml:space="preserve">, které byl mimo jiné vytýkán příliš generalizující a jednostranný pohled, absence dostatečně empirického zdůvodnění argumentů, včetně hlubší analýzy fungování </w:t>
      </w:r>
      <w:proofErr w:type="spellStart"/>
      <w:r w:rsidRPr="00151FAF">
        <w:rPr>
          <w:color w:val="000000" w:themeColor="text1"/>
        </w:rPr>
        <w:t>plužiny</w:t>
      </w:r>
      <w:proofErr w:type="spellEnd"/>
      <w:r w:rsidRPr="00151FAF">
        <w:rPr>
          <w:color w:val="000000" w:themeColor="text1"/>
        </w:rPr>
        <w:t xml:space="preserve">, opominutí pozitiv komunálních </w:t>
      </w:r>
      <w:proofErr w:type="spellStart"/>
      <w:r w:rsidRPr="00151FAF">
        <w:rPr>
          <w:color w:val="000000" w:themeColor="text1"/>
        </w:rPr>
        <w:t>plužin</w:t>
      </w:r>
      <w:proofErr w:type="spellEnd"/>
      <w:r w:rsidRPr="00151FAF">
        <w:rPr>
          <w:color w:val="000000" w:themeColor="text1"/>
        </w:rPr>
        <w:t xml:space="preserve"> nebo příliš velký důraz na teoretické přístupy nové institucionální ekonomie.</w:t>
      </w:r>
      <w:r w:rsidRPr="00151FAF">
        <w:rPr>
          <w:rStyle w:val="Znakapoznpodarou"/>
          <w:color w:val="000000" w:themeColor="text1"/>
        </w:rPr>
        <w:footnoteReference w:id="7"/>
      </w:r>
      <w:r w:rsidRPr="00151FAF">
        <w:rPr>
          <w:color w:val="000000" w:themeColor="text1"/>
        </w:rPr>
        <w:t xml:space="preserve"> Důvodem, proč nás její kniha přitahuje i po téměř dvaceti letech, je myšlenka, že v podobě </w:t>
      </w:r>
      <w:proofErr w:type="spellStart"/>
      <w:r w:rsidRPr="00151FAF">
        <w:rPr>
          <w:color w:val="000000" w:themeColor="text1"/>
        </w:rPr>
        <w:t>plužin</w:t>
      </w:r>
      <w:proofErr w:type="spellEnd"/>
      <w:r w:rsidRPr="00151FAF">
        <w:rPr>
          <w:color w:val="000000" w:themeColor="text1"/>
        </w:rPr>
        <w:t xml:space="preserve"> vidíme způsob, jakým byla rolnická komunita hospodářsky organizována a jak regulovala ekonomické aktivity svých členů. Pokud tedy již studujeme institucionální rámec fungování rolnických komunit v písemných pramenech, měli bychom automaticky reflektovat </w:t>
      </w:r>
      <w:proofErr w:type="spellStart"/>
      <w:r w:rsidRPr="00151FAF">
        <w:rPr>
          <w:color w:val="000000" w:themeColor="text1"/>
        </w:rPr>
        <w:t>plužiny</w:t>
      </w:r>
      <w:proofErr w:type="spellEnd"/>
      <w:r w:rsidRPr="00151FAF">
        <w:rPr>
          <w:color w:val="000000" w:themeColor="text1"/>
        </w:rPr>
        <w:t xml:space="preserve"> jako jeho hmotné krajinné ztělesnění a do jisté míry i determinantu. Rozdílnost v podobě </w:t>
      </w:r>
      <w:proofErr w:type="spellStart"/>
      <w:r w:rsidRPr="00151FAF">
        <w:rPr>
          <w:color w:val="000000" w:themeColor="text1"/>
        </w:rPr>
        <w:t>plužin</w:t>
      </w:r>
      <w:proofErr w:type="spellEnd"/>
      <w:r w:rsidRPr="00151FAF">
        <w:rPr>
          <w:color w:val="000000" w:themeColor="text1"/>
        </w:rPr>
        <w:t xml:space="preserve"> by zároveň měla znamenat rozdílnost v institucionálním rámci jako celku. To samé se týká studia sociální stratifikace, mobility, transferu půdy a míry komercionalizace rolnických komunit.</w:t>
      </w:r>
      <w:r w:rsidRPr="00151FAF">
        <w:rPr>
          <w:rStyle w:val="Znakapoznpodarou"/>
          <w:color w:val="000000" w:themeColor="text1"/>
        </w:rPr>
        <w:footnoteReference w:id="8"/>
      </w:r>
      <w:r w:rsidRPr="00151FAF">
        <w:rPr>
          <w:color w:val="000000" w:themeColor="text1"/>
        </w:rPr>
        <w:t xml:space="preserve"> Podoba </w:t>
      </w:r>
      <w:proofErr w:type="spellStart"/>
      <w:r w:rsidRPr="00151FAF">
        <w:rPr>
          <w:color w:val="000000" w:themeColor="text1"/>
        </w:rPr>
        <w:t>plužiny</w:t>
      </w:r>
      <w:proofErr w:type="spellEnd"/>
      <w:r w:rsidRPr="00151FAF">
        <w:rPr>
          <w:color w:val="000000" w:themeColor="text1"/>
        </w:rPr>
        <w:t xml:space="preserve"> by měla být také cenným a integrálním svědkem o povaze a způsobu fungování vesnické obce a lokálních rolnických komunit. Jinými slovy, teze R. </w:t>
      </w:r>
      <w:proofErr w:type="spellStart"/>
      <w:r w:rsidRPr="00151FAF">
        <w:rPr>
          <w:color w:val="000000" w:themeColor="text1"/>
        </w:rPr>
        <w:t>Hopcroftové</w:t>
      </w:r>
      <w:proofErr w:type="spellEnd"/>
      <w:r w:rsidRPr="00151FAF">
        <w:rPr>
          <w:color w:val="000000" w:themeColor="text1"/>
        </w:rPr>
        <w:t xml:space="preserve"> a jejich teoretické rozpracování přináší originální a čerstvý podnět pro hlubší studium </w:t>
      </w:r>
      <w:proofErr w:type="spellStart"/>
      <w:r w:rsidRPr="00151FAF">
        <w:rPr>
          <w:color w:val="000000" w:themeColor="text1"/>
        </w:rPr>
        <w:t>plužin</w:t>
      </w:r>
      <w:proofErr w:type="spellEnd"/>
      <w:r w:rsidRPr="00151FAF">
        <w:rPr>
          <w:color w:val="000000" w:themeColor="text1"/>
        </w:rPr>
        <w:t xml:space="preserve">, nebo obecně hmotných aspektů rolnického života, a tím i pro intenzivnější propojení různých historických, sociálních a ekonomických přístupů, které v následujících kapitolách budeme rozvíjet. </w:t>
      </w:r>
    </w:p>
    <w:p w:rsidR="00C30A6D" w:rsidRDefault="00380878">
      <w:bookmarkStart w:id="3" w:name="_GoBack"/>
      <w:bookmarkEnd w:id="3"/>
    </w:p>
    <w:sectPr w:rsidR="00C3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14" w:rsidRDefault="006E1314" w:rsidP="006E1314">
      <w:r>
        <w:separator/>
      </w:r>
    </w:p>
  </w:endnote>
  <w:endnote w:type="continuationSeparator" w:id="0">
    <w:p w:rsidR="006E1314" w:rsidRDefault="006E1314" w:rsidP="006E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14" w:rsidRDefault="006E1314" w:rsidP="006E1314">
      <w:r>
        <w:separator/>
      </w:r>
    </w:p>
  </w:footnote>
  <w:footnote w:type="continuationSeparator" w:id="0">
    <w:p w:rsidR="006E1314" w:rsidRDefault="006E1314" w:rsidP="006E1314">
      <w:r>
        <w:continuationSeparator/>
      </w:r>
    </w:p>
  </w:footnote>
  <w:footnote w:id="1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</w:t>
      </w:r>
      <w:r w:rsidRPr="00207BC2">
        <w:rPr>
          <w:rFonts w:cs="Times New Roman"/>
          <w:color w:val="000000" w:themeColor="text1"/>
        </w:rPr>
        <w:t xml:space="preserve">Martin BORN, </w:t>
      </w:r>
      <w:proofErr w:type="spellStart"/>
      <w:r w:rsidRPr="00207BC2">
        <w:rPr>
          <w:rFonts w:cs="Times New Roman"/>
          <w:i/>
          <w:color w:val="000000" w:themeColor="text1"/>
        </w:rPr>
        <w:t>Geographie</w:t>
      </w:r>
      <w:proofErr w:type="spellEnd"/>
      <w:r w:rsidRPr="00207BC2">
        <w:rPr>
          <w:rFonts w:cs="Times New Roman"/>
          <w:i/>
          <w:color w:val="000000" w:themeColor="text1"/>
        </w:rPr>
        <w:t xml:space="preserve"> der </w:t>
      </w:r>
      <w:proofErr w:type="spellStart"/>
      <w:r w:rsidRPr="00207BC2">
        <w:rPr>
          <w:rFonts w:cs="Times New Roman"/>
          <w:i/>
          <w:color w:val="000000" w:themeColor="text1"/>
        </w:rPr>
        <w:t>ländlichen</w:t>
      </w:r>
      <w:proofErr w:type="spellEnd"/>
      <w:r w:rsidRPr="00207BC2">
        <w:rPr>
          <w:rFonts w:cs="Times New Roman"/>
          <w:i/>
          <w:color w:val="000000" w:themeColor="text1"/>
        </w:rPr>
        <w:t xml:space="preserve"> </w:t>
      </w:r>
      <w:proofErr w:type="spellStart"/>
      <w:r w:rsidRPr="00207BC2">
        <w:rPr>
          <w:rFonts w:cs="Times New Roman"/>
          <w:i/>
          <w:color w:val="000000" w:themeColor="text1"/>
        </w:rPr>
        <w:t>Siedlungen</w:t>
      </w:r>
      <w:proofErr w:type="spellEnd"/>
      <w:r w:rsidRPr="00207BC2">
        <w:rPr>
          <w:rFonts w:cs="Times New Roman"/>
          <w:i/>
          <w:color w:val="000000" w:themeColor="text1"/>
        </w:rPr>
        <w:t xml:space="preserve"> 1</w:t>
      </w:r>
      <w:r w:rsidRPr="00207BC2">
        <w:rPr>
          <w:rFonts w:cs="Times New Roman"/>
          <w:color w:val="000000" w:themeColor="text1"/>
        </w:rPr>
        <w:t xml:space="preserve">, (= </w:t>
      </w:r>
      <w:proofErr w:type="spellStart"/>
      <w:r w:rsidRPr="00207BC2">
        <w:rPr>
          <w:rFonts w:cs="Times New Roman"/>
          <w:color w:val="000000" w:themeColor="text1"/>
        </w:rPr>
        <w:t>Teubner</w:t>
      </w:r>
      <w:proofErr w:type="spellEnd"/>
      <w:r w:rsidRPr="00207BC2">
        <w:rPr>
          <w:rFonts w:cs="Times New Roman"/>
          <w:color w:val="000000" w:themeColor="text1"/>
        </w:rPr>
        <w:t xml:space="preserve"> </w:t>
      </w:r>
      <w:proofErr w:type="spellStart"/>
      <w:r w:rsidRPr="00207BC2">
        <w:rPr>
          <w:rFonts w:cs="Times New Roman"/>
          <w:color w:val="000000" w:themeColor="text1"/>
        </w:rPr>
        <w:t>Studienbücher</w:t>
      </w:r>
      <w:proofErr w:type="spellEnd"/>
      <w:r w:rsidRPr="00207BC2">
        <w:rPr>
          <w:rFonts w:cs="Times New Roman"/>
          <w:color w:val="000000" w:themeColor="text1"/>
        </w:rPr>
        <w:t xml:space="preserve">, </w:t>
      </w:r>
      <w:proofErr w:type="spellStart"/>
      <w:r w:rsidRPr="00207BC2">
        <w:rPr>
          <w:rFonts w:cs="Times New Roman"/>
          <w:color w:val="000000" w:themeColor="text1"/>
        </w:rPr>
        <w:t>Geographie</w:t>
      </w:r>
      <w:proofErr w:type="spellEnd"/>
      <w:r w:rsidRPr="00207BC2">
        <w:rPr>
          <w:rFonts w:cs="Times New Roman"/>
          <w:color w:val="000000" w:themeColor="text1"/>
        </w:rPr>
        <w:t>) Stuttgart 1977</w:t>
      </w:r>
      <w:r w:rsidRPr="00207BC2">
        <w:rPr>
          <w:rFonts w:cs="Times New Roman"/>
        </w:rPr>
        <w:t>, s. 59–83.</w:t>
      </w:r>
    </w:p>
  </w:footnote>
  <w:footnote w:id="2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</w:t>
      </w:r>
      <w:proofErr w:type="gramStart"/>
      <w:r w:rsidRPr="00207BC2">
        <w:rPr>
          <w:rFonts w:cs="Times New Roman"/>
        </w:rPr>
        <w:t>R.L.</w:t>
      </w:r>
      <w:proofErr w:type="gramEnd"/>
      <w:r w:rsidRPr="00207BC2">
        <w:rPr>
          <w:rFonts w:cs="Times New Roman"/>
        </w:rPr>
        <w:t xml:space="preserve"> HOPCROFT, </w:t>
      </w:r>
      <w:proofErr w:type="spellStart"/>
      <w:r w:rsidRPr="00207BC2">
        <w:rPr>
          <w:rFonts w:cs="Times New Roman"/>
          <w:i/>
        </w:rPr>
        <w:t>Regions</w:t>
      </w:r>
      <w:proofErr w:type="spellEnd"/>
      <w:r w:rsidRPr="00207BC2">
        <w:rPr>
          <w:rFonts w:cs="Times New Roman"/>
        </w:rPr>
        <w:t>, s. 1–9, 15–57.</w:t>
      </w:r>
    </w:p>
  </w:footnote>
  <w:footnote w:id="3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</w:t>
      </w:r>
      <w:proofErr w:type="gramStart"/>
      <w:r w:rsidRPr="00207BC2">
        <w:rPr>
          <w:rFonts w:cs="Times New Roman"/>
        </w:rPr>
        <w:t>R.L.</w:t>
      </w:r>
      <w:proofErr w:type="gramEnd"/>
      <w:r w:rsidRPr="00207BC2">
        <w:rPr>
          <w:rFonts w:cs="Times New Roman"/>
        </w:rPr>
        <w:t xml:space="preserve"> HOPCROFT, </w:t>
      </w:r>
      <w:proofErr w:type="spellStart"/>
      <w:r w:rsidRPr="00207BC2">
        <w:rPr>
          <w:rFonts w:cs="Times New Roman"/>
          <w:i/>
        </w:rPr>
        <w:t>Regions</w:t>
      </w:r>
      <w:proofErr w:type="spellEnd"/>
      <w:r w:rsidRPr="00207BC2">
        <w:rPr>
          <w:rFonts w:cs="Times New Roman"/>
        </w:rPr>
        <w:t>, s. 46–57.</w:t>
      </w:r>
    </w:p>
  </w:footnote>
  <w:footnote w:id="4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Nejnově</w:t>
      </w:r>
      <w:proofErr w:type="spellEnd"/>
      <w:r w:rsidRPr="00207BC2">
        <w:rPr>
          <w:rFonts w:cs="Times New Roman"/>
        </w:rPr>
        <w:t xml:space="preserve"> shrnují S. OGILVIE – </w:t>
      </w:r>
      <w:proofErr w:type="gramStart"/>
      <w:r w:rsidRPr="00207BC2">
        <w:rPr>
          <w:rFonts w:cs="Times New Roman"/>
        </w:rPr>
        <w:t>A.W.</w:t>
      </w:r>
      <w:proofErr w:type="gramEnd"/>
      <w:r w:rsidRPr="00207BC2">
        <w:rPr>
          <w:rFonts w:cs="Times New Roman"/>
        </w:rPr>
        <w:t xml:space="preserve"> CARUS, </w:t>
      </w:r>
      <w:proofErr w:type="spellStart"/>
      <w:r w:rsidRPr="00207BC2">
        <w:rPr>
          <w:rFonts w:cs="Times New Roman"/>
          <w:i/>
        </w:rPr>
        <w:t>Institutions</w:t>
      </w:r>
      <w:proofErr w:type="spellEnd"/>
      <w:r w:rsidRPr="00207BC2">
        <w:rPr>
          <w:rFonts w:cs="Times New Roman"/>
        </w:rPr>
        <w:t>.</w:t>
      </w:r>
    </w:p>
  </w:footnote>
  <w:footnote w:id="5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</w:t>
      </w:r>
      <w:proofErr w:type="gramStart"/>
      <w:r w:rsidRPr="00207BC2">
        <w:rPr>
          <w:rFonts w:cs="Times New Roman"/>
          <w:color w:val="000000" w:themeColor="text1"/>
        </w:rPr>
        <w:t>P.C.</w:t>
      </w:r>
      <w:proofErr w:type="gramEnd"/>
      <w:r w:rsidRPr="00207BC2">
        <w:rPr>
          <w:rFonts w:cs="Times New Roman"/>
          <w:color w:val="000000" w:themeColor="text1"/>
        </w:rPr>
        <w:t>M. HOPPENBROUWERS – J. LUITEN VAN ZANDEN (</w:t>
      </w:r>
      <w:proofErr w:type="spellStart"/>
      <w:r w:rsidRPr="00207BC2">
        <w:rPr>
          <w:rFonts w:cs="Times New Roman"/>
          <w:color w:val="000000" w:themeColor="text1"/>
        </w:rPr>
        <w:t>eds</w:t>
      </w:r>
      <w:proofErr w:type="spellEnd"/>
      <w:r w:rsidRPr="00207BC2">
        <w:rPr>
          <w:rFonts w:cs="Times New Roman"/>
          <w:color w:val="000000" w:themeColor="text1"/>
        </w:rPr>
        <w:t xml:space="preserve">.), </w:t>
      </w:r>
      <w:proofErr w:type="spellStart"/>
      <w:r w:rsidRPr="00207BC2">
        <w:rPr>
          <w:rFonts w:cs="Times New Roman"/>
          <w:i/>
          <w:color w:val="000000" w:themeColor="text1"/>
        </w:rPr>
        <w:t>Peasants</w:t>
      </w:r>
      <w:proofErr w:type="spellEnd"/>
      <w:r w:rsidRPr="00207BC2">
        <w:rPr>
          <w:rFonts w:cs="Times New Roman"/>
        </w:rPr>
        <w:t xml:space="preserve">; </w:t>
      </w:r>
      <w:proofErr w:type="gramStart"/>
      <w:r w:rsidRPr="00207BC2">
        <w:rPr>
          <w:rFonts w:cs="Times New Roman"/>
          <w:color w:val="000000" w:themeColor="text1"/>
        </w:rPr>
        <w:t>T.H.</w:t>
      </w:r>
      <w:proofErr w:type="gramEnd"/>
      <w:r w:rsidRPr="00207BC2">
        <w:rPr>
          <w:rFonts w:cs="Times New Roman"/>
          <w:color w:val="000000" w:themeColor="text1"/>
        </w:rPr>
        <w:t xml:space="preserve"> ASTON – </w:t>
      </w:r>
      <w:proofErr w:type="spellStart"/>
      <w:r w:rsidRPr="00207BC2">
        <w:rPr>
          <w:rFonts w:cs="Times New Roman"/>
          <w:color w:val="000000" w:themeColor="text1"/>
        </w:rPr>
        <w:t>Ch.H.E</w:t>
      </w:r>
      <w:proofErr w:type="spellEnd"/>
      <w:r w:rsidRPr="00207BC2">
        <w:rPr>
          <w:rFonts w:cs="Times New Roman"/>
          <w:color w:val="000000" w:themeColor="text1"/>
        </w:rPr>
        <w:t>. PHILPIN (</w:t>
      </w:r>
      <w:proofErr w:type="spellStart"/>
      <w:r w:rsidRPr="00207BC2">
        <w:rPr>
          <w:rFonts w:cs="Times New Roman"/>
          <w:color w:val="000000" w:themeColor="text1"/>
        </w:rPr>
        <w:t>eds</w:t>
      </w:r>
      <w:proofErr w:type="spellEnd"/>
      <w:r w:rsidRPr="00207BC2">
        <w:rPr>
          <w:rFonts w:cs="Times New Roman"/>
          <w:color w:val="000000" w:themeColor="text1"/>
        </w:rPr>
        <w:t>.),</w:t>
      </w:r>
      <w:r w:rsidRPr="00207BC2">
        <w:rPr>
          <w:rFonts w:cs="Times New Roman"/>
          <w:i/>
          <w:color w:val="000000" w:themeColor="text1"/>
        </w:rPr>
        <w:t xml:space="preserve"> </w:t>
      </w:r>
      <w:proofErr w:type="spellStart"/>
      <w:r w:rsidRPr="00207BC2">
        <w:rPr>
          <w:rFonts w:cs="Times New Roman"/>
          <w:i/>
          <w:color w:val="000000" w:themeColor="text1"/>
        </w:rPr>
        <w:t>The</w:t>
      </w:r>
      <w:proofErr w:type="spellEnd"/>
      <w:r w:rsidRPr="00207BC2">
        <w:rPr>
          <w:rFonts w:cs="Times New Roman"/>
          <w:i/>
          <w:color w:val="000000" w:themeColor="text1"/>
        </w:rPr>
        <w:t xml:space="preserve"> </w:t>
      </w:r>
      <w:proofErr w:type="spellStart"/>
      <w:r w:rsidRPr="00207BC2">
        <w:rPr>
          <w:rFonts w:cs="Times New Roman"/>
          <w:i/>
          <w:color w:val="000000" w:themeColor="text1"/>
        </w:rPr>
        <w:t>Brenner</w:t>
      </w:r>
      <w:proofErr w:type="spellEnd"/>
      <w:r w:rsidRPr="00207BC2">
        <w:rPr>
          <w:rFonts w:cs="Times New Roman"/>
          <w:i/>
          <w:color w:val="000000" w:themeColor="text1"/>
        </w:rPr>
        <w:t xml:space="preserve"> </w:t>
      </w:r>
      <w:proofErr w:type="spellStart"/>
      <w:r w:rsidRPr="00207BC2">
        <w:rPr>
          <w:rFonts w:cs="Times New Roman"/>
          <w:i/>
          <w:color w:val="000000" w:themeColor="text1"/>
        </w:rPr>
        <w:t>debate</w:t>
      </w:r>
      <w:proofErr w:type="spellEnd"/>
      <w:r w:rsidRPr="00207BC2">
        <w:rPr>
          <w:rFonts w:cs="Times New Roman"/>
        </w:rPr>
        <w:t>.</w:t>
      </w:r>
    </w:p>
  </w:footnote>
  <w:footnote w:id="6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</w:t>
      </w:r>
      <w:proofErr w:type="gramStart"/>
      <w:r w:rsidRPr="00207BC2">
        <w:rPr>
          <w:rFonts w:cs="Times New Roman"/>
        </w:rPr>
        <w:t>R.L.</w:t>
      </w:r>
      <w:proofErr w:type="gramEnd"/>
      <w:r w:rsidRPr="00207BC2">
        <w:rPr>
          <w:rFonts w:cs="Times New Roman"/>
        </w:rPr>
        <w:t xml:space="preserve"> HOPCROFT, </w:t>
      </w:r>
      <w:proofErr w:type="spellStart"/>
      <w:r w:rsidRPr="00207BC2">
        <w:rPr>
          <w:rFonts w:cs="Times New Roman"/>
          <w:i/>
        </w:rPr>
        <w:t>Regions</w:t>
      </w:r>
      <w:proofErr w:type="spellEnd"/>
      <w:r w:rsidRPr="00207BC2">
        <w:rPr>
          <w:rFonts w:cs="Times New Roman"/>
        </w:rPr>
        <w:t>, s. 1–9, 14-45, 230–236.</w:t>
      </w:r>
    </w:p>
  </w:footnote>
  <w:footnote w:id="7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Srov. zejména recenze v </w:t>
      </w:r>
      <w:proofErr w:type="spellStart"/>
      <w:r w:rsidRPr="00207BC2">
        <w:rPr>
          <w:rFonts w:cs="Times New Roman"/>
        </w:rPr>
        <w:t>The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Agriculture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History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Review</w:t>
      </w:r>
      <w:proofErr w:type="spellEnd"/>
      <w:r w:rsidRPr="00207BC2">
        <w:rPr>
          <w:rFonts w:cs="Times New Roman"/>
        </w:rPr>
        <w:t xml:space="preserve"> (John R. </w:t>
      </w:r>
      <w:proofErr w:type="spellStart"/>
      <w:r w:rsidRPr="00207BC2">
        <w:rPr>
          <w:rFonts w:cs="Times New Roman"/>
        </w:rPr>
        <w:t>Walton</w:t>
      </w:r>
      <w:proofErr w:type="spellEnd"/>
      <w:r w:rsidRPr="00207BC2">
        <w:rPr>
          <w:rFonts w:cs="Times New Roman"/>
        </w:rPr>
        <w:t xml:space="preserve">), </w:t>
      </w:r>
      <w:proofErr w:type="spellStart"/>
      <w:r w:rsidRPr="00207BC2">
        <w:rPr>
          <w:rFonts w:cs="Times New Roman"/>
        </w:rPr>
        <w:t>Contemporary</w:t>
      </w:r>
      <w:proofErr w:type="spellEnd"/>
      <w:r w:rsidRPr="00207BC2">
        <w:rPr>
          <w:rFonts w:cs="Times New Roman"/>
        </w:rPr>
        <w:t xml:space="preserve"> Sociology (Rebecca Jean </w:t>
      </w:r>
      <w:proofErr w:type="spellStart"/>
      <w:r w:rsidRPr="00207BC2">
        <w:rPr>
          <w:rFonts w:cs="Times New Roman"/>
        </w:rPr>
        <w:t>Emigh</w:t>
      </w:r>
      <w:proofErr w:type="spellEnd"/>
      <w:r w:rsidRPr="00207BC2">
        <w:rPr>
          <w:rFonts w:cs="Times New Roman"/>
        </w:rPr>
        <w:t xml:space="preserve">), </w:t>
      </w:r>
      <w:proofErr w:type="spellStart"/>
      <w:r w:rsidRPr="00207BC2">
        <w:rPr>
          <w:rFonts w:cs="Times New Roman"/>
        </w:rPr>
        <w:t>American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Journal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of</w:t>
      </w:r>
      <w:proofErr w:type="spellEnd"/>
      <w:r w:rsidRPr="00207BC2">
        <w:rPr>
          <w:rFonts w:cs="Times New Roman"/>
        </w:rPr>
        <w:t xml:space="preserve"> Sociology (James </w:t>
      </w:r>
      <w:proofErr w:type="spellStart"/>
      <w:r w:rsidRPr="00207BC2">
        <w:rPr>
          <w:rFonts w:cs="Times New Roman"/>
        </w:rPr>
        <w:t>Mahoney</w:t>
      </w:r>
      <w:proofErr w:type="spellEnd"/>
      <w:r w:rsidRPr="00207BC2">
        <w:rPr>
          <w:rFonts w:cs="Times New Roman"/>
        </w:rPr>
        <w:t xml:space="preserve">), </w:t>
      </w:r>
      <w:proofErr w:type="spellStart"/>
      <w:r w:rsidRPr="00207BC2">
        <w:rPr>
          <w:rFonts w:cs="Times New Roman"/>
        </w:rPr>
        <w:t>The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Journal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of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Economic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History</w:t>
      </w:r>
      <w:proofErr w:type="spellEnd"/>
      <w:r w:rsidRPr="00207BC2">
        <w:rPr>
          <w:rFonts w:cs="Times New Roman"/>
        </w:rPr>
        <w:t xml:space="preserve"> (Robert A. </w:t>
      </w:r>
      <w:proofErr w:type="spellStart"/>
      <w:r w:rsidRPr="00207BC2">
        <w:rPr>
          <w:rFonts w:cs="Times New Roman"/>
        </w:rPr>
        <w:t>Dodgshon</w:t>
      </w:r>
      <w:proofErr w:type="spellEnd"/>
      <w:r w:rsidRPr="00207BC2">
        <w:rPr>
          <w:rFonts w:cs="Times New Roman"/>
        </w:rPr>
        <w:t xml:space="preserve">), </w:t>
      </w:r>
      <w:proofErr w:type="spellStart"/>
      <w:r w:rsidRPr="00207BC2">
        <w:rPr>
          <w:rFonts w:cs="Times New Roman"/>
        </w:rPr>
        <w:t>Economic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History</w:t>
      </w:r>
      <w:proofErr w:type="spellEnd"/>
      <w:r w:rsidRPr="00207BC2">
        <w:rPr>
          <w:rFonts w:cs="Times New Roman"/>
        </w:rPr>
        <w:t xml:space="preserve"> </w:t>
      </w:r>
      <w:proofErr w:type="spellStart"/>
      <w:r w:rsidRPr="00207BC2">
        <w:rPr>
          <w:rFonts w:cs="Times New Roman"/>
        </w:rPr>
        <w:t>Review</w:t>
      </w:r>
      <w:proofErr w:type="spellEnd"/>
      <w:r w:rsidRPr="00207BC2">
        <w:rPr>
          <w:rFonts w:cs="Times New Roman"/>
        </w:rPr>
        <w:t xml:space="preserve"> (Michael Turner).</w:t>
      </w:r>
    </w:p>
  </w:footnote>
  <w:footnote w:id="8">
    <w:p w:rsidR="006E1314" w:rsidRPr="00207BC2" w:rsidRDefault="006E1314" w:rsidP="006E1314">
      <w:pPr>
        <w:pStyle w:val="Textpoznpodarou"/>
        <w:jc w:val="both"/>
        <w:rPr>
          <w:rFonts w:cs="Times New Roman"/>
        </w:rPr>
      </w:pPr>
      <w:r w:rsidRPr="00207BC2">
        <w:rPr>
          <w:rStyle w:val="Znakapoznpodarou"/>
          <w:rFonts w:cs="Times New Roman"/>
        </w:rPr>
        <w:footnoteRef/>
      </w:r>
      <w:r w:rsidRPr="00207BC2">
        <w:rPr>
          <w:rFonts w:cs="Times New Roman"/>
        </w:rPr>
        <w:t xml:space="preserve"> V českých agrárních dějinách význam studia </w:t>
      </w:r>
      <w:proofErr w:type="spellStart"/>
      <w:r w:rsidRPr="00207BC2">
        <w:rPr>
          <w:rFonts w:cs="Times New Roman"/>
        </w:rPr>
        <w:t>plužin</w:t>
      </w:r>
      <w:proofErr w:type="spellEnd"/>
      <w:r w:rsidRPr="00207BC2">
        <w:rPr>
          <w:rFonts w:cs="Times New Roman"/>
        </w:rPr>
        <w:t xml:space="preserve"> zdůraznili např. J. PETRÁŇ, Zemědělská výroba, s. 78–84; M. CERMAN – E. MAUR, </w:t>
      </w:r>
      <w:r w:rsidRPr="00207BC2">
        <w:rPr>
          <w:rFonts w:cs="Times New Roman"/>
          <w:i/>
        </w:rPr>
        <w:t>Proměny</w:t>
      </w:r>
      <w:r w:rsidRPr="00207BC2">
        <w:rPr>
          <w:rFonts w:cs="Times New Roman"/>
        </w:rPr>
        <w:t xml:space="preserve">, s. 767–768.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4"/>
    <w:rsid w:val="00380878"/>
    <w:rsid w:val="006E1314"/>
    <w:rsid w:val="00864EFB"/>
    <w:rsid w:val="008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604D-DB9F-4DE5-89D5-B6932F31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14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131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1314"/>
    <w:rPr>
      <w:rFonts w:ascii="Times New Roman" w:eastAsiaTheme="majorEastAsia" w:hAnsi="Times New Roman" w:cstheme="majorBidi"/>
      <w:b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6E131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131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6E1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2018-12-06T08:44:00Z</dcterms:created>
  <dcterms:modified xsi:type="dcterms:W3CDTF">2018-12-06T09:01:00Z</dcterms:modified>
</cp:coreProperties>
</file>