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DCA" w:rsidRDefault="004B6DCA" w:rsidP="004B6DCA">
      <w:pPr>
        <w:pStyle w:val="Normln1"/>
        <w:jc w:val="center"/>
        <w:rPr>
          <w:rFonts w:ascii="Arial" w:hAnsi="Arial"/>
          <w:sz w:val="40"/>
          <w:szCs w:val="40"/>
        </w:rPr>
      </w:pPr>
      <w:proofErr w:type="gramStart"/>
      <w:r w:rsidRPr="000F24B7">
        <w:rPr>
          <w:rFonts w:ascii="Arial" w:hAnsi="Arial"/>
          <w:sz w:val="40"/>
          <w:szCs w:val="40"/>
        </w:rPr>
        <w:t xml:space="preserve">TECHNICKÁ </w:t>
      </w:r>
      <w:r>
        <w:rPr>
          <w:rFonts w:ascii="Arial" w:hAnsi="Arial"/>
          <w:sz w:val="40"/>
          <w:szCs w:val="40"/>
        </w:rPr>
        <w:t xml:space="preserve"> </w:t>
      </w:r>
      <w:r w:rsidRPr="000F24B7">
        <w:rPr>
          <w:rFonts w:ascii="Arial" w:hAnsi="Arial"/>
          <w:sz w:val="40"/>
          <w:szCs w:val="40"/>
        </w:rPr>
        <w:t>ZPRÁVA</w:t>
      </w:r>
      <w:proofErr w:type="gramEnd"/>
    </w:p>
    <w:p w:rsidR="004B6DCA" w:rsidRDefault="004B6DCA" w:rsidP="004B6DCA">
      <w:pPr>
        <w:pStyle w:val="Normln1"/>
        <w:jc w:val="center"/>
        <w:rPr>
          <w:rFonts w:ascii="Arial" w:hAnsi="Arial"/>
          <w:sz w:val="40"/>
          <w:szCs w:val="40"/>
        </w:rPr>
      </w:pPr>
    </w:p>
    <w:p w:rsidR="004B6DCA" w:rsidRDefault="004B6DCA" w:rsidP="004B6DCA">
      <w:pPr>
        <w:pStyle w:val="Normln1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1. </w:t>
      </w:r>
      <w:r w:rsidR="002635A8">
        <w:rPr>
          <w:rFonts w:ascii="Arial" w:hAnsi="Arial"/>
          <w:sz w:val="28"/>
        </w:rPr>
        <w:t>Identifikační údaje</w:t>
      </w:r>
    </w:p>
    <w:p w:rsidR="004B6DCA" w:rsidRPr="000F24B7" w:rsidRDefault="004B6DCA" w:rsidP="004B6DCA">
      <w:pPr>
        <w:pStyle w:val="Normln1"/>
        <w:jc w:val="center"/>
        <w:rPr>
          <w:rFonts w:ascii="Arial" w:hAnsi="Arial"/>
          <w:sz w:val="40"/>
          <w:szCs w:val="40"/>
        </w:rPr>
      </w:pPr>
    </w:p>
    <w:p w:rsidR="0076335B" w:rsidRPr="0076335B" w:rsidRDefault="001A788B" w:rsidP="0076335B">
      <w:pPr>
        <w:spacing w:line="276" w:lineRule="auto"/>
        <w:rPr>
          <w:caps/>
        </w:rPr>
      </w:pPr>
      <w:r>
        <w:t>Akce</w:t>
      </w:r>
      <w:r w:rsidR="0076335B" w:rsidRPr="0076335B">
        <w:t>:</w:t>
      </w:r>
      <w:r w:rsidR="0076335B" w:rsidRPr="0076335B">
        <w:tab/>
      </w:r>
      <w:r w:rsidR="0076335B" w:rsidRPr="0076335B">
        <w:tab/>
      </w:r>
      <w:r>
        <w:tab/>
        <w:t>Oprava objektu ÚJOP Univerzity Karlovy, Vratislavova 29/10, Praha 2</w:t>
      </w:r>
    </w:p>
    <w:p w:rsidR="0076335B" w:rsidRPr="0076335B" w:rsidRDefault="0076335B" w:rsidP="0076335B">
      <w:pPr>
        <w:autoSpaceDE w:val="0"/>
        <w:autoSpaceDN w:val="0"/>
        <w:spacing w:line="276" w:lineRule="auto"/>
        <w:ind w:left="2124" w:hanging="2124"/>
      </w:pPr>
      <w:r w:rsidRPr="0076335B">
        <w:t xml:space="preserve">Místo stavby: </w:t>
      </w:r>
      <w:r w:rsidRPr="0076335B">
        <w:tab/>
      </w:r>
      <w:proofErr w:type="spellStart"/>
      <w:r w:rsidRPr="0076335B">
        <w:t>kat.úz</w:t>
      </w:r>
      <w:proofErr w:type="spellEnd"/>
      <w:r w:rsidRPr="0076335B">
        <w:t xml:space="preserve">. </w:t>
      </w:r>
      <w:r w:rsidR="001A788B">
        <w:t>Vyšehrad</w:t>
      </w:r>
      <w:r w:rsidRPr="0076335B">
        <w:t xml:space="preserve">, </w:t>
      </w:r>
      <w:proofErr w:type="gramStart"/>
      <w:r w:rsidRPr="0076335B">
        <w:t>parc</w:t>
      </w:r>
      <w:proofErr w:type="gramEnd"/>
      <w:r w:rsidRPr="0076335B">
        <w:t>.</w:t>
      </w:r>
      <w:proofErr w:type="gramStart"/>
      <w:r w:rsidRPr="0076335B">
        <w:t>č.</w:t>
      </w:r>
      <w:proofErr w:type="gramEnd"/>
      <w:r w:rsidR="001A788B">
        <w:t>40</w:t>
      </w:r>
    </w:p>
    <w:p w:rsidR="0076335B" w:rsidRPr="0076335B" w:rsidRDefault="0076335B" w:rsidP="0076335B">
      <w:pPr>
        <w:spacing w:line="276" w:lineRule="auto"/>
      </w:pPr>
      <w:r w:rsidRPr="0076335B">
        <w:t>Investor:       </w:t>
      </w:r>
      <w:r w:rsidRPr="0076335B">
        <w:tab/>
      </w:r>
      <w:r w:rsidRPr="0076335B">
        <w:tab/>
      </w:r>
      <w:r w:rsidR="001A788B">
        <w:t>ÚJOP Univerzity Karlovy, Vratislavova 29/10, Praha 2</w:t>
      </w:r>
    </w:p>
    <w:p w:rsidR="0076335B" w:rsidRPr="0076335B" w:rsidRDefault="0076335B" w:rsidP="0076335B">
      <w:pPr>
        <w:spacing w:line="276" w:lineRule="auto"/>
      </w:pPr>
      <w:r w:rsidRPr="0076335B">
        <w:t xml:space="preserve">Stupeň:              </w:t>
      </w:r>
      <w:r w:rsidRPr="0076335B">
        <w:tab/>
        <w:t>DSP  (dokumentace ke stavebnímu řízení)</w:t>
      </w:r>
    </w:p>
    <w:p w:rsidR="0076335B" w:rsidRPr="0076335B" w:rsidRDefault="0076335B" w:rsidP="0076335B">
      <w:pPr>
        <w:pStyle w:val="Bezmezer"/>
        <w:spacing w:line="276" w:lineRule="auto"/>
      </w:pPr>
      <w:r w:rsidRPr="0076335B">
        <w:t>Projektant elektro:</w:t>
      </w:r>
      <w:r w:rsidRPr="0076335B">
        <w:tab/>
        <w:t xml:space="preserve">Petr Kubala, autorizovaný technik ČKAIT 1101989, </w:t>
      </w:r>
    </w:p>
    <w:p w:rsidR="0076335B" w:rsidRPr="0076335B" w:rsidRDefault="0076335B" w:rsidP="0076335B">
      <w:pPr>
        <w:pStyle w:val="Bezmezer"/>
        <w:spacing w:line="276" w:lineRule="auto"/>
        <w:ind w:left="1416" w:firstLine="708"/>
      </w:pPr>
      <w:r w:rsidRPr="0076335B">
        <w:t>osvědčení číslo 18 430</w:t>
      </w:r>
    </w:p>
    <w:p w:rsidR="0076335B" w:rsidRPr="0076335B" w:rsidRDefault="0076335B" w:rsidP="0076335B">
      <w:pPr>
        <w:pStyle w:val="Bezmezer"/>
        <w:spacing w:line="276" w:lineRule="auto"/>
      </w:pPr>
      <w:r w:rsidRPr="0076335B">
        <w:tab/>
      </w:r>
      <w:r w:rsidRPr="0076335B">
        <w:tab/>
      </w:r>
      <w:r w:rsidRPr="0076335B">
        <w:tab/>
        <w:t>kancelář: ul. Ciolkovského 452/25, Karviná 4</w:t>
      </w:r>
      <w:r w:rsidR="002E6185">
        <w:t xml:space="preserve"> </w:t>
      </w:r>
    </w:p>
    <w:p w:rsidR="0076335B" w:rsidRPr="0076335B" w:rsidRDefault="0076335B" w:rsidP="0076335B">
      <w:pPr>
        <w:spacing w:line="276" w:lineRule="auto"/>
        <w:rPr>
          <w:bCs/>
        </w:rPr>
      </w:pPr>
      <w:r w:rsidRPr="0076335B">
        <w:rPr>
          <w:bCs/>
        </w:rPr>
        <w:tab/>
      </w:r>
      <w:r w:rsidRPr="0076335B">
        <w:rPr>
          <w:bCs/>
        </w:rPr>
        <w:tab/>
      </w:r>
      <w:r w:rsidRPr="0076335B">
        <w:rPr>
          <w:bCs/>
        </w:rPr>
        <w:tab/>
        <w:t xml:space="preserve">tel.: 603 324 548 </w:t>
      </w:r>
    </w:p>
    <w:p w:rsidR="0076335B" w:rsidRPr="0076335B" w:rsidRDefault="0076335B" w:rsidP="0076335B">
      <w:pPr>
        <w:spacing w:line="276" w:lineRule="auto"/>
        <w:ind w:left="1416" w:firstLine="708"/>
        <w:rPr>
          <w:bCs/>
        </w:rPr>
      </w:pPr>
      <w:r w:rsidRPr="0076335B">
        <w:rPr>
          <w:bCs/>
        </w:rPr>
        <w:t xml:space="preserve">e-mail:  </w:t>
      </w:r>
      <w:hyperlink r:id="rId8" w:history="1">
        <w:r w:rsidRPr="0076335B">
          <w:rPr>
            <w:rStyle w:val="Hypertextovodkaz"/>
            <w:bCs/>
          </w:rPr>
          <w:t>pk.proj@seznam.cz</w:t>
        </w:r>
      </w:hyperlink>
    </w:p>
    <w:p w:rsidR="000F24B7" w:rsidRDefault="000F24B7">
      <w:pPr>
        <w:pStyle w:val="Normln1"/>
        <w:rPr>
          <w:rFonts w:ascii="Arial" w:hAnsi="Arial"/>
          <w:sz w:val="28"/>
        </w:rPr>
      </w:pPr>
    </w:p>
    <w:p w:rsidR="000F24B7" w:rsidRDefault="000F24B7">
      <w:pPr>
        <w:pStyle w:val="Normln1"/>
        <w:rPr>
          <w:rFonts w:ascii="Arial" w:hAnsi="Arial"/>
          <w:sz w:val="28"/>
        </w:rPr>
      </w:pPr>
    </w:p>
    <w:p w:rsidR="00D576A6" w:rsidRDefault="004B6DCA">
      <w:pPr>
        <w:pStyle w:val="Normln1"/>
        <w:rPr>
          <w:rFonts w:ascii="Arial" w:hAnsi="Arial"/>
          <w:sz w:val="28"/>
        </w:rPr>
      </w:pPr>
      <w:r>
        <w:rPr>
          <w:rFonts w:ascii="Arial" w:hAnsi="Arial"/>
          <w:sz w:val="28"/>
        </w:rPr>
        <w:t>2</w:t>
      </w:r>
      <w:r w:rsidR="00D576A6">
        <w:rPr>
          <w:rFonts w:ascii="Arial" w:hAnsi="Arial"/>
          <w:sz w:val="28"/>
        </w:rPr>
        <w:t>. Charakteristika zařízení</w:t>
      </w:r>
    </w:p>
    <w:p w:rsidR="00D576A6" w:rsidRDefault="00D576A6">
      <w:pPr>
        <w:pStyle w:val="Normln1"/>
      </w:pPr>
    </w:p>
    <w:p w:rsidR="002635A8" w:rsidRPr="00A60746" w:rsidRDefault="002635A8" w:rsidP="002635A8">
      <w:pPr>
        <w:pStyle w:val="Normln1"/>
        <w:spacing w:line="276" w:lineRule="auto"/>
        <w:rPr>
          <w:rFonts w:ascii="Arial" w:hAnsi="Arial"/>
          <w:b/>
          <w:i/>
          <w:sz w:val="22"/>
          <w:szCs w:val="22"/>
        </w:rPr>
      </w:pPr>
      <w:r>
        <w:rPr>
          <w:rFonts w:ascii="Arial" w:hAnsi="Arial"/>
          <w:b/>
          <w:i/>
          <w:sz w:val="22"/>
          <w:szCs w:val="22"/>
        </w:rPr>
        <w:t>Úvod</w:t>
      </w:r>
    </w:p>
    <w:p w:rsidR="002635A8" w:rsidRDefault="00FC45C2" w:rsidP="00F71A30">
      <w:pPr>
        <w:pStyle w:val="Normln1"/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Předmětem dokumentace je návrh řešení osvětlovací soustavy kanceláří nacházejících se ve 4.NP objektu. Místnosti jsou osvětlovány prostřednictvím okenních otvorů denním světlem. Úroveň denního osvětlení v jednotlivých místnostech je vyznačena izoliniemi s vyznačením procentuálních hodnot činitele denního osvětlení (%). V návaznosti na tyto hodnoty je pak navrženo umělé osvětlení.</w:t>
      </w:r>
    </w:p>
    <w:p w:rsidR="00FC45C2" w:rsidRDefault="00FC45C2" w:rsidP="00F71A30">
      <w:pPr>
        <w:pStyle w:val="Normln1"/>
        <w:spacing w:line="276" w:lineRule="auto"/>
        <w:ind w:firstLine="708"/>
        <w:jc w:val="both"/>
        <w:rPr>
          <w:rFonts w:ascii="CenturyGothic" w:hAnsi="CenturyGothic" w:cs="CenturyGothic"/>
          <w:sz w:val="24"/>
          <w:szCs w:val="24"/>
        </w:rPr>
      </w:pPr>
      <w:r>
        <w:rPr>
          <w:sz w:val="24"/>
          <w:szCs w:val="24"/>
        </w:rPr>
        <w:t>Světlá výška místností je 3600mm, a proto jsou navržena zavěšená svítidla ve výšce 2800mm. Tato výška svítidel</w:t>
      </w:r>
      <w:r w:rsidR="00F71A30">
        <w:rPr>
          <w:sz w:val="24"/>
          <w:szCs w:val="24"/>
        </w:rPr>
        <w:t xml:space="preserve"> opticky sníží výšku stropů v poměru k ploše jednotlivých místností. </w:t>
      </w:r>
    </w:p>
    <w:p w:rsidR="00D576A6" w:rsidRDefault="00D576A6">
      <w:pPr>
        <w:pStyle w:val="Normln1"/>
        <w:rPr>
          <w:rFonts w:ascii="Arial" w:hAnsi="Arial"/>
          <w:sz w:val="24"/>
        </w:rPr>
      </w:pPr>
    </w:p>
    <w:p w:rsidR="00D576A6" w:rsidRPr="00A60746" w:rsidRDefault="001419BA" w:rsidP="004B6DCA">
      <w:pPr>
        <w:pStyle w:val="Normln1"/>
        <w:spacing w:line="276" w:lineRule="auto"/>
        <w:rPr>
          <w:rFonts w:ascii="Arial" w:hAnsi="Arial"/>
          <w:b/>
          <w:i/>
          <w:sz w:val="22"/>
          <w:szCs w:val="22"/>
        </w:rPr>
      </w:pPr>
      <w:r w:rsidRPr="00A60746">
        <w:rPr>
          <w:rFonts w:ascii="Arial" w:hAnsi="Arial"/>
          <w:b/>
          <w:i/>
          <w:sz w:val="22"/>
          <w:szCs w:val="22"/>
        </w:rPr>
        <w:t>Vym</w:t>
      </w:r>
      <w:r w:rsidR="00A60746">
        <w:rPr>
          <w:rFonts w:ascii="Arial" w:hAnsi="Arial"/>
          <w:b/>
          <w:i/>
          <w:sz w:val="22"/>
          <w:szCs w:val="22"/>
        </w:rPr>
        <w:t>e</w:t>
      </w:r>
      <w:r w:rsidRPr="00A60746">
        <w:rPr>
          <w:rFonts w:ascii="Arial" w:hAnsi="Arial"/>
          <w:b/>
          <w:i/>
          <w:sz w:val="22"/>
          <w:szCs w:val="22"/>
        </w:rPr>
        <w:t>zení rozsahu projektu</w:t>
      </w:r>
    </w:p>
    <w:p w:rsidR="00D576A6" w:rsidRDefault="00D576A6" w:rsidP="004B6DCA">
      <w:pPr>
        <w:pStyle w:val="Normln1"/>
        <w:spacing w:line="276" w:lineRule="auto"/>
      </w:pPr>
    </w:p>
    <w:p w:rsidR="00C4124E" w:rsidRDefault="00062D91" w:rsidP="004B6DCA">
      <w:pPr>
        <w:pStyle w:val="Normln1"/>
        <w:numPr>
          <w:ilvl w:val="0"/>
          <w:numId w:val="9"/>
        </w:numPr>
        <w:spacing w:line="276" w:lineRule="auto"/>
        <w:rPr>
          <w:sz w:val="24"/>
        </w:rPr>
      </w:pPr>
      <w:r>
        <w:rPr>
          <w:sz w:val="24"/>
        </w:rPr>
        <w:t>Výpočet denního osvětlení</w:t>
      </w:r>
      <w:r w:rsidR="00394371">
        <w:rPr>
          <w:sz w:val="24"/>
        </w:rPr>
        <w:t xml:space="preserve"> </w:t>
      </w:r>
      <w:r w:rsidR="00F71A30">
        <w:rPr>
          <w:sz w:val="24"/>
        </w:rPr>
        <w:t>kanceláří</w:t>
      </w:r>
      <w:r>
        <w:rPr>
          <w:sz w:val="24"/>
        </w:rPr>
        <w:t>.</w:t>
      </w:r>
    </w:p>
    <w:p w:rsidR="0015209D" w:rsidRDefault="00062D91" w:rsidP="004B6DCA">
      <w:pPr>
        <w:pStyle w:val="Normln1"/>
        <w:numPr>
          <w:ilvl w:val="0"/>
          <w:numId w:val="9"/>
        </w:numPr>
        <w:spacing w:line="276" w:lineRule="auto"/>
        <w:rPr>
          <w:sz w:val="24"/>
        </w:rPr>
      </w:pPr>
      <w:r>
        <w:rPr>
          <w:sz w:val="24"/>
        </w:rPr>
        <w:t>V</w:t>
      </w:r>
      <w:r w:rsidR="001419BA">
        <w:rPr>
          <w:sz w:val="24"/>
        </w:rPr>
        <w:t xml:space="preserve">ýpočet </w:t>
      </w:r>
      <w:r w:rsidR="001D712C">
        <w:rPr>
          <w:sz w:val="24"/>
        </w:rPr>
        <w:t>umělého</w:t>
      </w:r>
      <w:r w:rsidR="001419BA">
        <w:rPr>
          <w:sz w:val="24"/>
        </w:rPr>
        <w:t xml:space="preserve"> osvětlení</w:t>
      </w:r>
      <w:r w:rsidR="00394371">
        <w:rPr>
          <w:sz w:val="24"/>
        </w:rPr>
        <w:t xml:space="preserve"> </w:t>
      </w:r>
      <w:r w:rsidR="00F71A30">
        <w:rPr>
          <w:sz w:val="24"/>
        </w:rPr>
        <w:t>kanceláří v návaznosti k navrženým osvětlovacím tělesům</w:t>
      </w:r>
      <w:r w:rsidR="00C4124E">
        <w:rPr>
          <w:sz w:val="24"/>
        </w:rPr>
        <w:t>.</w:t>
      </w:r>
    </w:p>
    <w:p w:rsidR="00F71A30" w:rsidRDefault="00F71A30" w:rsidP="004B6DCA">
      <w:pPr>
        <w:pStyle w:val="Normln1"/>
        <w:numPr>
          <w:ilvl w:val="0"/>
          <w:numId w:val="9"/>
        </w:numPr>
        <w:spacing w:line="276" w:lineRule="auto"/>
        <w:rPr>
          <w:sz w:val="24"/>
        </w:rPr>
      </w:pPr>
      <w:r>
        <w:rPr>
          <w:sz w:val="24"/>
        </w:rPr>
        <w:t>Rozpočet materiálu a prací pro dodávku a instalaci navržených svítidel.</w:t>
      </w:r>
    </w:p>
    <w:p w:rsidR="00F71A30" w:rsidRDefault="00F71A30" w:rsidP="004B6DCA">
      <w:pPr>
        <w:pStyle w:val="Normln1"/>
        <w:spacing w:line="276" w:lineRule="auto"/>
        <w:rPr>
          <w:sz w:val="24"/>
        </w:rPr>
      </w:pPr>
    </w:p>
    <w:p w:rsidR="00D576A6" w:rsidRDefault="00D576A6" w:rsidP="004B6DCA">
      <w:pPr>
        <w:pStyle w:val="Normln1"/>
        <w:spacing w:line="276" w:lineRule="auto"/>
        <w:rPr>
          <w:sz w:val="24"/>
        </w:rPr>
      </w:pPr>
      <w:r>
        <w:rPr>
          <w:sz w:val="24"/>
        </w:rPr>
        <w:t xml:space="preserve">   </w:t>
      </w:r>
    </w:p>
    <w:p w:rsidR="00D576A6" w:rsidRPr="00A60746" w:rsidRDefault="00D576A6" w:rsidP="004B6DCA">
      <w:pPr>
        <w:pStyle w:val="Normln1"/>
        <w:spacing w:line="276" w:lineRule="auto"/>
        <w:rPr>
          <w:rFonts w:ascii="Arial" w:hAnsi="Arial" w:cs="Arial"/>
          <w:b/>
          <w:i/>
          <w:sz w:val="22"/>
          <w:szCs w:val="22"/>
        </w:rPr>
      </w:pPr>
      <w:r w:rsidRPr="00A60746">
        <w:rPr>
          <w:rFonts w:ascii="Arial" w:hAnsi="Arial" w:cs="Arial"/>
          <w:b/>
          <w:i/>
          <w:sz w:val="22"/>
          <w:szCs w:val="22"/>
        </w:rPr>
        <w:t>Podklady ke zpracování projektu:</w:t>
      </w:r>
    </w:p>
    <w:p w:rsidR="00D576A6" w:rsidRPr="003750A7" w:rsidRDefault="002B32FB" w:rsidP="004B6DCA">
      <w:pPr>
        <w:pStyle w:val="Normln1"/>
        <w:numPr>
          <w:ilvl w:val="0"/>
          <w:numId w:val="6"/>
        </w:numPr>
        <w:spacing w:line="276" w:lineRule="auto"/>
        <w:ind w:left="480" w:hanging="480"/>
        <w:rPr>
          <w:sz w:val="24"/>
          <w:szCs w:val="24"/>
        </w:rPr>
      </w:pPr>
      <w:r w:rsidRPr="003750A7">
        <w:rPr>
          <w:sz w:val="24"/>
          <w:szCs w:val="24"/>
        </w:rPr>
        <w:t>Výkres půdorysu</w:t>
      </w:r>
      <w:r w:rsidR="00062D91" w:rsidRPr="003750A7">
        <w:rPr>
          <w:sz w:val="24"/>
          <w:szCs w:val="24"/>
        </w:rPr>
        <w:t xml:space="preserve"> </w:t>
      </w:r>
      <w:r w:rsidR="00F71A30">
        <w:rPr>
          <w:sz w:val="24"/>
          <w:szCs w:val="24"/>
        </w:rPr>
        <w:t>4.NP objektu</w:t>
      </w:r>
      <w:r w:rsidRPr="003750A7">
        <w:rPr>
          <w:sz w:val="24"/>
          <w:szCs w:val="24"/>
        </w:rPr>
        <w:t>.</w:t>
      </w:r>
    </w:p>
    <w:p w:rsidR="003750A7" w:rsidRDefault="003750A7" w:rsidP="004B6DCA">
      <w:pPr>
        <w:pStyle w:val="Nadpis11"/>
        <w:numPr>
          <w:ilvl w:val="0"/>
          <w:numId w:val="6"/>
        </w:numPr>
        <w:shd w:val="clear" w:color="auto" w:fill="FFFFFF"/>
        <w:spacing w:before="30" w:after="150" w:line="276" w:lineRule="auto"/>
        <w:ind w:left="703" w:hanging="703"/>
        <w:rPr>
          <w:rFonts w:ascii="Times New Roman" w:hAnsi="Times New Roman"/>
          <w:b w:val="0"/>
          <w:color w:val="auto"/>
          <w:sz w:val="24"/>
          <w:szCs w:val="24"/>
        </w:rPr>
      </w:pPr>
      <w:r w:rsidRPr="003750A7">
        <w:rPr>
          <w:rFonts w:ascii="Times New Roman" w:hAnsi="Times New Roman"/>
          <w:b w:val="0"/>
          <w:color w:val="auto"/>
          <w:sz w:val="24"/>
          <w:szCs w:val="24"/>
        </w:rPr>
        <w:t>Legislativní podklad</w:t>
      </w:r>
      <w:r>
        <w:rPr>
          <w:rFonts w:ascii="Times New Roman" w:hAnsi="Times New Roman"/>
          <w:b w:val="0"/>
          <w:color w:val="auto"/>
          <w:sz w:val="24"/>
          <w:szCs w:val="24"/>
        </w:rPr>
        <w:t>y</w:t>
      </w:r>
    </w:p>
    <w:p w:rsidR="003750A7" w:rsidRPr="003750A7" w:rsidRDefault="003750A7" w:rsidP="004B6DCA">
      <w:pPr>
        <w:pStyle w:val="Nadpis11"/>
        <w:numPr>
          <w:ilvl w:val="0"/>
          <w:numId w:val="11"/>
        </w:numPr>
        <w:shd w:val="clear" w:color="auto" w:fill="FFFFFF"/>
        <w:spacing w:before="30" w:after="150" w:line="276" w:lineRule="auto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color w:val="auto"/>
          <w:sz w:val="24"/>
          <w:szCs w:val="24"/>
        </w:rPr>
        <w:t>NV</w:t>
      </w:r>
      <w:r w:rsidRPr="003750A7">
        <w:rPr>
          <w:rFonts w:ascii="Times New Roman" w:hAnsi="Times New Roman"/>
          <w:b w:val="0"/>
          <w:color w:val="auto"/>
          <w:sz w:val="24"/>
          <w:szCs w:val="24"/>
        </w:rPr>
        <w:t xml:space="preserve"> 361/2007 sb., § 45, kterým se stanoví podmínky ochrany zdraví zaměstnanců při práci, ve </w:t>
      </w:r>
      <w:proofErr w:type="gramStart"/>
      <w:r w:rsidRPr="003750A7">
        <w:rPr>
          <w:rFonts w:ascii="Times New Roman" w:hAnsi="Times New Roman"/>
          <w:b w:val="0"/>
          <w:color w:val="auto"/>
          <w:sz w:val="24"/>
          <w:szCs w:val="24"/>
        </w:rPr>
        <w:t>znění  novely</w:t>
      </w:r>
      <w:proofErr w:type="gramEnd"/>
      <w:r w:rsidRPr="003750A7">
        <w:rPr>
          <w:rFonts w:ascii="Times New Roman" w:hAnsi="Times New Roman"/>
          <w:b w:val="0"/>
          <w:color w:val="auto"/>
          <w:sz w:val="24"/>
          <w:szCs w:val="24"/>
        </w:rPr>
        <w:t xml:space="preserve"> Nařízení vlády č. 68/2010 Sb., č. 93/2012 Sb., č. 9/2013 Sb.</w:t>
      </w:r>
    </w:p>
    <w:p w:rsidR="003750A7" w:rsidRPr="003750A7" w:rsidRDefault="003750A7" w:rsidP="004B6DCA">
      <w:pPr>
        <w:pStyle w:val="Zkladntext"/>
        <w:numPr>
          <w:ilvl w:val="0"/>
          <w:numId w:val="11"/>
        </w:numPr>
        <w:tabs>
          <w:tab w:val="left" w:pos="0"/>
        </w:tabs>
        <w:spacing w:line="276" w:lineRule="auto"/>
        <w:rPr>
          <w:szCs w:val="24"/>
        </w:rPr>
      </w:pPr>
      <w:r w:rsidRPr="003750A7">
        <w:rPr>
          <w:szCs w:val="24"/>
        </w:rPr>
        <w:lastRenderedPageBreak/>
        <w:t>ČSN EN 12 464-1 Světlo a osvětlení - Osvětlení pracovních pros</w:t>
      </w:r>
      <w:r>
        <w:rPr>
          <w:szCs w:val="24"/>
        </w:rPr>
        <w:t xml:space="preserve">torů - Část 1: Vnitřní pracovní </w:t>
      </w:r>
      <w:r w:rsidRPr="003750A7">
        <w:rPr>
          <w:szCs w:val="24"/>
        </w:rPr>
        <w:t>prostory</w:t>
      </w:r>
    </w:p>
    <w:p w:rsidR="003750A7" w:rsidRPr="003750A7" w:rsidRDefault="003750A7" w:rsidP="00D913A4">
      <w:pPr>
        <w:pStyle w:val="Zkladntext"/>
        <w:numPr>
          <w:ilvl w:val="0"/>
          <w:numId w:val="11"/>
        </w:numPr>
        <w:tabs>
          <w:tab w:val="left" w:pos="0"/>
        </w:tabs>
        <w:spacing w:line="276" w:lineRule="auto"/>
        <w:rPr>
          <w:szCs w:val="24"/>
        </w:rPr>
      </w:pPr>
      <w:r w:rsidRPr="003750A7">
        <w:rPr>
          <w:szCs w:val="24"/>
        </w:rPr>
        <w:t>ČSN EN 12 665 Světlo a osvětlení - Základní termíny a krit</w:t>
      </w:r>
      <w:r w:rsidR="004B6DCA">
        <w:rPr>
          <w:szCs w:val="24"/>
        </w:rPr>
        <w:t>é</w:t>
      </w:r>
      <w:r w:rsidRPr="003750A7">
        <w:rPr>
          <w:szCs w:val="24"/>
        </w:rPr>
        <w:t>ria pro stanovení požadavků na osvětlení</w:t>
      </w:r>
    </w:p>
    <w:p w:rsidR="00F71A30" w:rsidRDefault="00F71A30" w:rsidP="00F90030">
      <w:pPr>
        <w:spacing w:after="40" w:line="276" w:lineRule="auto"/>
        <w:jc w:val="both"/>
        <w:rPr>
          <w:rFonts w:ascii="Arial" w:hAnsi="Arial" w:cs="Arial"/>
          <w:b/>
          <w:i/>
          <w:sz w:val="22"/>
        </w:rPr>
      </w:pPr>
    </w:p>
    <w:p w:rsidR="00A60746" w:rsidRDefault="00A60746" w:rsidP="00F90030">
      <w:pPr>
        <w:spacing w:after="40" w:line="276" w:lineRule="auto"/>
        <w:jc w:val="both"/>
        <w:rPr>
          <w:rFonts w:ascii="Arial" w:hAnsi="Arial" w:cs="Arial"/>
          <w:b/>
          <w:i/>
          <w:sz w:val="22"/>
        </w:rPr>
      </w:pPr>
      <w:r>
        <w:rPr>
          <w:rFonts w:ascii="Arial" w:hAnsi="Arial" w:cs="Arial"/>
          <w:b/>
          <w:i/>
          <w:sz w:val="22"/>
        </w:rPr>
        <w:t>Ochranná opatření před úrazem elektrickým proudem dle ČSN 33 2000-4-41 ed.</w:t>
      </w:r>
      <w:r w:rsidR="00DC4E5F">
        <w:rPr>
          <w:rFonts w:ascii="Arial" w:hAnsi="Arial" w:cs="Arial"/>
          <w:b/>
          <w:i/>
          <w:sz w:val="22"/>
        </w:rPr>
        <w:t>3</w:t>
      </w:r>
      <w:r>
        <w:rPr>
          <w:rFonts w:ascii="Arial" w:hAnsi="Arial" w:cs="Arial"/>
          <w:b/>
          <w:i/>
          <w:sz w:val="22"/>
        </w:rPr>
        <w:t>.</w:t>
      </w:r>
    </w:p>
    <w:p w:rsidR="00C4124E" w:rsidRPr="00C4124E" w:rsidRDefault="00C4124E" w:rsidP="00F90030">
      <w:pPr>
        <w:spacing w:line="276" w:lineRule="auto"/>
        <w:ind w:right="-288" w:firstLine="284"/>
        <w:jc w:val="both"/>
      </w:pPr>
      <w:r w:rsidRPr="00C4124E">
        <w:t xml:space="preserve">Základní ochrana :     </w:t>
      </w:r>
      <w:r w:rsidRPr="00C4124E">
        <w:tab/>
        <w:t>- základní izolace</w:t>
      </w:r>
    </w:p>
    <w:p w:rsidR="00C4124E" w:rsidRPr="00C4124E" w:rsidRDefault="00C4124E" w:rsidP="00F90030">
      <w:pPr>
        <w:spacing w:line="276" w:lineRule="auto"/>
        <w:ind w:left="1080" w:right="-288"/>
        <w:jc w:val="both"/>
      </w:pPr>
      <w:r w:rsidRPr="00C4124E">
        <w:t xml:space="preserve">                       </w:t>
      </w:r>
      <w:r w:rsidRPr="00C4124E">
        <w:tab/>
        <w:t>- kryty a přepážky</w:t>
      </w:r>
    </w:p>
    <w:p w:rsidR="00C4124E" w:rsidRPr="00C4124E" w:rsidRDefault="00C4124E" w:rsidP="00F90030">
      <w:pPr>
        <w:spacing w:line="276" w:lineRule="auto"/>
        <w:ind w:right="-288" w:firstLine="284"/>
        <w:jc w:val="both"/>
      </w:pPr>
      <w:r w:rsidRPr="00C4124E">
        <w:t xml:space="preserve">Ochrana při poruše (před dotykem neživých částí):    </w:t>
      </w:r>
    </w:p>
    <w:p w:rsidR="00C4124E" w:rsidRPr="00C4124E" w:rsidRDefault="00C4124E" w:rsidP="00F90030">
      <w:pPr>
        <w:spacing w:line="276" w:lineRule="auto"/>
        <w:ind w:right="-288" w:firstLine="284"/>
        <w:jc w:val="both"/>
      </w:pPr>
      <w:r w:rsidRPr="00C4124E">
        <w:tab/>
      </w:r>
      <w:r w:rsidRPr="00C4124E">
        <w:tab/>
      </w:r>
      <w:r w:rsidRPr="00C4124E">
        <w:tab/>
      </w:r>
      <w:r w:rsidRPr="00C4124E">
        <w:tab/>
      </w:r>
      <w:proofErr w:type="gramStart"/>
      <w:r w:rsidRPr="00C4124E">
        <w:t>-  automatickým</w:t>
      </w:r>
      <w:proofErr w:type="gramEnd"/>
      <w:r w:rsidRPr="00C4124E">
        <w:t xml:space="preserve"> odpojením od zdroje</w:t>
      </w:r>
    </w:p>
    <w:p w:rsidR="00A60746" w:rsidRPr="00C4124E" w:rsidRDefault="00A60746" w:rsidP="00F90030">
      <w:pPr>
        <w:spacing w:line="276" w:lineRule="auto"/>
        <w:jc w:val="both"/>
      </w:pPr>
    </w:p>
    <w:p w:rsidR="003E0451" w:rsidRPr="003E0451" w:rsidRDefault="003E0451" w:rsidP="00F90030">
      <w:pPr>
        <w:pStyle w:val="Holub-n"/>
        <w:spacing w:line="276" w:lineRule="auto"/>
        <w:jc w:val="both"/>
        <w:rPr>
          <w:rFonts w:cs="Arial"/>
          <w:i/>
          <w:szCs w:val="22"/>
        </w:rPr>
      </w:pPr>
      <w:r w:rsidRPr="003E0451">
        <w:rPr>
          <w:rFonts w:cs="Arial"/>
          <w:b/>
          <w:i/>
          <w:szCs w:val="22"/>
        </w:rPr>
        <w:t>Prostředí určení vnějších vlivů</w:t>
      </w:r>
      <w:r w:rsidRPr="003E0451">
        <w:rPr>
          <w:rFonts w:cs="Arial"/>
          <w:i/>
          <w:szCs w:val="22"/>
        </w:rPr>
        <w:t xml:space="preserve"> </w:t>
      </w:r>
      <w:r w:rsidRPr="003E0451">
        <w:rPr>
          <w:rFonts w:cs="Arial"/>
          <w:b/>
          <w:i/>
          <w:szCs w:val="22"/>
        </w:rPr>
        <w:t>vnitřních prostor objektu</w:t>
      </w:r>
      <w:r w:rsidRPr="003E0451">
        <w:rPr>
          <w:rFonts w:cs="Arial"/>
          <w:i/>
          <w:szCs w:val="22"/>
        </w:rPr>
        <w:t xml:space="preserve"> </w:t>
      </w:r>
    </w:p>
    <w:p w:rsidR="003E0451" w:rsidRPr="003E0451" w:rsidRDefault="003E0451" w:rsidP="00F90030">
      <w:pPr>
        <w:pStyle w:val="Holub-n"/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 w:rsidRPr="003E0451">
        <w:rPr>
          <w:rFonts w:ascii="Times New Roman" w:hAnsi="Times New Roman"/>
          <w:sz w:val="24"/>
        </w:rPr>
        <w:t>je specifikováno v protokolu 201</w:t>
      </w:r>
      <w:r w:rsidR="003D2EB2">
        <w:rPr>
          <w:rFonts w:ascii="Times New Roman" w:hAnsi="Times New Roman"/>
          <w:sz w:val="24"/>
        </w:rPr>
        <w:t>9</w:t>
      </w:r>
      <w:r w:rsidRPr="003E0451">
        <w:rPr>
          <w:rFonts w:ascii="Times New Roman" w:hAnsi="Times New Roman"/>
          <w:sz w:val="24"/>
        </w:rPr>
        <w:t>VV</w:t>
      </w:r>
      <w:r w:rsidR="003D2EB2">
        <w:rPr>
          <w:rFonts w:ascii="Times New Roman" w:hAnsi="Times New Roman"/>
          <w:sz w:val="24"/>
        </w:rPr>
        <w:t>3</w:t>
      </w:r>
      <w:r w:rsidR="00F71A30">
        <w:rPr>
          <w:rFonts w:ascii="Times New Roman" w:hAnsi="Times New Roman"/>
          <w:sz w:val="24"/>
        </w:rPr>
        <w:t>4</w:t>
      </w:r>
      <w:r w:rsidRPr="003E0451">
        <w:rPr>
          <w:rFonts w:ascii="Times New Roman" w:hAnsi="Times New Roman"/>
          <w:sz w:val="24"/>
        </w:rPr>
        <w:t>, který je nedílnou součástí této dokumentace.</w:t>
      </w:r>
    </w:p>
    <w:p w:rsidR="003E0451" w:rsidRDefault="003E0451" w:rsidP="00F90030">
      <w:pPr>
        <w:pStyle w:val="Normln1"/>
        <w:spacing w:line="276" w:lineRule="auto"/>
        <w:rPr>
          <w:sz w:val="24"/>
        </w:rPr>
      </w:pPr>
    </w:p>
    <w:p w:rsidR="00D576A6" w:rsidRPr="00A60746" w:rsidRDefault="00C4124E" w:rsidP="00F90030">
      <w:pPr>
        <w:pStyle w:val="Normln1"/>
        <w:spacing w:line="276" w:lineRule="auto"/>
        <w:rPr>
          <w:rFonts w:ascii="Arial" w:hAnsi="Arial"/>
          <w:b/>
          <w:i/>
          <w:sz w:val="22"/>
          <w:szCs w:val="22"/>
        </w:rPr>
      </w:pPr>
      <w:r>
        <w:rPr>
          <w:rFonts w:ascii="Arial" w:hAnsi="Arial"/>
          <w:b/>
          <w:i/>
          <w:sz w:val="22"/>
          <w:szCs w:val="22"/>
        </w:rPr>
        <w:t>P</w:t>
      </w:r>
      <w:r w:rsidR="00D576A6" w:rsidRPr="00A60746">
        <w:rPr>
          <w:rFonts w:ascii="Arial" w:hAnsi="Arial"/>
          <w:b/>
          <w:i/>
          <w:sz w:val="22"/>
          <w:szCs w:val="22"/>
        </w:rPr>
        <w:t xml:space="preserve">říkon </w:t>
      </w:r>
      <w:r w:rsidR="004F55A7" w:rsidRPr="00A60746">
        <w:rPr>
          <w:rFonts w:ascii="Arial" w:hAnsi="Arial"/>
          <w:b/>
          <w:i/>
          <w:sz w:val="22"/>
          <w:szCs w:val="22"/>
        </w:rPr>
        <w:t>osvětlovací soustavy</w:t>
      </w:r>
      <w:r w:rsidR="00D576A6" w:rsidRPr="00A60746">
        <w:rPr>
          <w:rFonts w:ascii="Arial" w:hAnsi="Arial"/>
          <w:b/>
          <w:i/>
          <w:sz w:val="22"/>
          <w:szCs w:val="22"/>
        </w:rPr>
        <w:t xml:space="preserve"> dle výpočtových protokolů: </w:t>
      </w:r>
    </w:p>
    <w:p w:rsidR="00D576A6" w:rsidRDefault="00D576A6" w:rsidP="00F90030">
      <w:pPr>
        <w:pStyle w:val="Normln1"/>
        <w:spacing w:line="276" w:lineRule="auto"/>
        <w:ind w:left="708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P </w:t>
      </w:r>
      <w:proofErr w:type="gramStart"/>
      <w:r>
        <w:rPr>
          <w:rFonts w:ascii="Arial" w:hAnsi="Arial"/>
          <w:sz w:val="16"/>
        </w:rPr>
        <w:t>celkem</w:t>
      </w:r>
      <w:r>
        <w:rPr>
          <w:rFonts w:ascii="Arial" w:hAnsi="Arial"/>
          <w:sz w:val="24"/>
        </w:rPr>
        <w:t xml:space="preserve"> = </w:t>
      </w:r>
      <w:r w:rsidR="00EB7F8B">
        <w:rPr>
          <w:rFonts w:ascii="Arial" w:hAnsi="Arial"/>
          <w:sz w:val="24"/>
        </w:rPr>
        <w:t xml:space="preserve"> </w:t>
      </w:r>
      <w:r w:rsidR="00DC4E5F">
        <w:rPr>
          <w:rFonts w:ascii="Arial" w:hAnsi="Arial"/>
          <w:sz w:val="24"/>
        </w:rPr>
        <w:t>1</w:t>
      </w:r>
      <w:r w:rsidR="00F71A30">
        <w:rPr>
          <w:rFonts w:ascii="Arial" w:hAnsi="Arial"/>
          <w:sz w:val="24"/>
        </w:rPr>
        <w:t>566</w:t>
      </w:r>
      <w:proofErr w:type="gramEnd"/>
      <w:r w:rsidR="00EF1E70">
        <w:rPr>
          <w:rFonts w:ascii="Arial" w:hAnsi="Arial"/>
          <w:sz w:val="24"/>
        </w:rPr>
        <w:t xml:space="preserve"> </w:t>
      </w:r>
      <w:r w:rsidR="00C4124E">
        <w:rPr>
          <w:rFonts w:ascii="Arial" w:hAnsi="Arial"/>
          <w:sz w:val="24"/>
        </w:rPr>
        <w:t>W</w:t>
      </w:r>
      <w:r w:rsidR="001A5017">
        <w:rPr>
          <w:rFonts w:ascii="Arial" w:hAnsi="Arial"/>
          <w:sz w:val="24"/>
        </w:rPr>
        <w:tab/>
      </w:r>
    </w:p>
    <w:p w:rsidR="002C5973" w:rsidRDefault="002C5973" w:rsidP="00F90030">
      <w:pPr>
        <w:pStyle w:val="Normln1"/>
        <w:spacing w:line="276" w:lineRule="auto"/>
        <w:rPr>
          <w:rFonts w:ascii="Arial" w:hAnsi="Arial"/>
          <w:i/>
        </w:rPr>
      </w:pPr>
    </w:p>
    <w:p w:rsidR="003D2EB2" w:rsidRDefault="003D2EB2" w:rsidP="00F90030">
      <w:pPr>
        <w:pStyle w:val="Normln1"/>
        <w:spacing w:line="276" w:lineRule="auto"/>
        <w:rPr>
          <w:rFonts w:ascii="Arial" w:hAnsi="Arial"/>
          <w:sz w:val="28"/>
        </w:rPr>
      </w:pPr>
    </w:p>
    <w:p w:rsidR="00AC5EF3" w:rsidRPr="00394371" w:rsidRDefault="00AC5EF3" w:rsidP="00F90030">
      <w:pPr>
        <w:pStyle w:val="Holub-n"/>
        <w:spacing w:line="276" w:lineRule="auto"/>
        <w:jc w:val="both"/>
        <w:rPr>
          <w:rFonts w:cs="Arial"/>
          <w:i/>
          <w:sz w:val="24"/>
        </w:rPr>
      </w:pPr>
      <w:r w:rsidRPr="00394371">
        <w:rPr>
          <w:rFonts w:cs="Arial"/>
          <w:b/>
          <w:i/>
          <w:sz w:val="24"/>
        </w:rPr>
        <w:t>Posuzované prostory</w:t>
      </w:r>
    </w:p>
    <w:p w:rsidR="002C1008" w:rsidRDefault="002C1008" w:rsidP="00F90030">
      <w:pPr>
        <w:pStyle w:val="Holub-n"/>
        <w:spacing w:line="276" w:lineRule="auto"/>
        <w:jc w:val="both"/>
        <w:rPr>
          <w:rFonts w:ascii="Times New Roman" w:hAnsi="Times New Roman"/>
          <w:b/>
          <w:sz w:val="24"/>
          <w:u w:val="single"/>
        </w:rPr>
      </w:pPr>
    </w:p>
    <w:p w:rsidR="00AC5EF3" w:rsidRPr="000A65B9" w:rsidRDefault="00D913A4" w:rsidP="00F90030">
      <w:pPr>
        <w:pStyle w:val="Holub-n"/>
        <w:spacing w:line="276" w:lineRule="auto"/>
        <w:jc w:val="both"/>
        <w:rPr>
          <w:rFonts w:ascii="Times New Roman" w:hAnsi="Times New Roman"/>
          <w:b/>
          <w:sz w:val="24"/>
          <w:u w:val="single"/>
        </w:rPr>
      </w:pPr>
      <w:r w:rsidRPr="000A65B9">
        <w:rPr>
          <w:rFonts w:ascii="Times New Roman" w:hAnsi="Times New Roman"/>
          <w:b/>
          <w:sz w:val="24"/>
          <w:u w:val="single"/>
        </w:rPr>
        <w:t>Denní osvětlení</w:t>
      </w:r>
      <w:r w:rsidR="00394371">
        <w:rPr>
          <w:rFonts w:ascii="Times New Roman" w:hAnsi="Times New Roman"/>
          <w:b/>
          <w:sz w:val="24"/>
          <w:u w:val="single"/>
        </w:rPr>
        <w:t xml:space="preserve"> </w:t>
      </w:r>
      <w:proofErr w:type="spellStart"/>
      <w:r w:rsidR="00394371">
        <w:rPr>
          <w:rFonts w:ascii="Times New Roman" w:hAnsi="Times New Roman"/>
          <w:b/>
          <w:sz w:val="24"/>
          <w:u w:val="single"/>
        </w:rPr>
        <w:t>skladaovací</w:t>
      </w:r>
      <w:proofErr w:type="spellEnd"/>
      <w:r w:rsidR="00394371">
        <w:rPr>
          <w:rFonts w:ascii="Times New Roman" w:hAnsi="Times New Roman"/>
          <w:b/>
          <w:sz w:val="24"/>
          <w:u w:val="single"/>
        </w:rPr>
        <w:t xml:space="preserve"> haly</w:t>
      </w:r>
    </w:p>
    <w:p w:rsidR="00AC5EF3" w:rsidRDefault="00AC5EF3" w:rsidP="00CB3EDC">
      <w:pPr>
        <w:pStyle w:val="Holub-n"/>
        <w:spacing w:line="276" w:lineRule="auto"/>
        <w:jc w:val="both"/>
        <w:rPr>
          <w:rFonts w:ascii="Times New Roman" w:hAnsi="Times New Roman"/>
          <w:sz w:val="24"/>
          <w:u w:val="single"/>
        </w:rPr>
      </w:pPr>
    </w:p>
    <w:p w:rsidR="00D913A4" w:rsidRPr="009E2489" w:rsidRDefault="00D913A4" w:rsidP="00CB3EDC">
      <w:pPr>
        <w:pStyle w:val="Holub-n"/>
        <w:spacing w:line="276" w:lineRule="auto"/>
        <w:jc w:val="both"/>
        <w:rPr>
          <w:rFonts w:cs="Arial"/>
          <w:i/>
          <w:szCs w:val="22"/>
        </w:rPr>
      </w:pPr>
      <w:r w:rsidRPr="009E2489">
        <w:rPr>
          <w:rFonts w:cs="Arial"/>
          <w:i/>
          <w:szCs w:val="22"/>
        </w:rPr>
        <w:t>Základní požadavky na denní osvětlení</w:t>
      </w:r>
    </w:p>
    <w:p w:rsidR="00E70954" w:rsidRDefault="00E70954" w:rsidP="00CB3EDC">
      <w:pPr>
        <w:pStyle w:val="Normln1"/>
        <w:spacing w:line="276" w:lineRule="auto"/>
        <w:ind w:left="720"/>
        <w:rPr>
          <w:sz w:val="24"/>
        </w:rPr>
      </w:pPr>
    </w:p>
    <w:p w:rsidR="00E70954" w:rsidRPr="00AC5EF3" w:rsidRDefault="00F71A30" w:rsidP="00E70954">
      <w:pPr>
        <w:pStyle w:val="Holub-n"/>
        <w:spacing w:line="276" w:lineRule="auto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Kancelářské prost</w:t>
      </w:r>
      <w:r w:rsidR="0079460F">
        <w:rPr>
          <w:rFonts w:ascii="Times New Roman" w:hAnsi="Times New Roman"/>
          <w:sz w:val="24"/>
          <w:u w:val="single"/>
        </w:rPr>
        <w:t>o</w:t>
      </w:r>
      <w:r>
        <w:rPr>
          <w:rFonts w:ascii="Times New Roman" w:hAnsi="Times New Roman"/>
          <w:sz w:val="24"/>
          <w:u w:val="single"/>
        </w:rPr>
        <w:t>ry</w:t>
      </w:r>
    </w:p>
    <w:p w:rsidR="00E70954" w:rsidRPr="0079460F" w:rsidRDefault="00E70954" w:rsidP="00E70954">
      <w:pPr>
        <w:pStyle w:val="Normln1"/>
        <w:numPr>
          <w:ilvl w:val="0"/>
          <w:numId w:val="12"/>
        </w:numPr>
        <w:spacing w:line="276" w:lineRule="auto"/>
        <w:rPr>
          <w:rFonts w:ascii="Arial" w:hAnsi="Arial"/>
          <w:sz w:val="28"/>
        </w:rPr>
      </w:pPr>
      <w:r>
        <w:rPr>
          <w:sz w:val="24"/>
        </w:rPr>
        <w:t>třída zrakové činnosti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… </w:t>
      </w:r>
      <w:r w:rsidR="00F71A30">
        <w:rPr>
          <w:sz w:val="24"/>
        </w:rPr>
        <w:t>I</w:t>
      </w:r>
      <w:r>
        <w:rPr>
          <w:sz w:val="24"/>
        </w:rPr>
        <w:t>V</w:t>
      </w:r>
    </w:p>
    <w:p w:rsidR="0079460F" w:rsidRPr="00D913A4" w:rsidRDefault="0079460F" w:rsidP="00E70954">
      <w:pPr>
        <w:pStyle w:val="Normln1"/>
        <w:numPr>
          <w:ilvl w:val="0"/>
          <w:numId w:val="12"/>
        </w:numPr>
        <w:spacing w:line="276" w:lineRule="auto"/>
        <w:rPr>
          <w:rFonts w:ascii="Arial" w:hAnsi="Arial"/>
          <w:sz w:val="28"/>
        </w:rPr>
      </w:pPr>
      <w:r>
        <w:rPr>
          <w:sz w:val="24"/>
        </w:rPr>
        <w:t>charakteristika zrakové činnosti</w:t>
      </w:r>
      <w:r>
        <w:rPr>
          <w:sz w:val="24"/>
        </w:rPr>
        <w:tab/>
        <w:t>… středně přesná</w:t>
      </w:r>
    </w:p>
    <w:p w:rsidR="0079460F" w:rsidRPr="0079460F" w:rsidRDefault="0079460F" w:rsidP="0079460F">
      <w:pPr>
        <w:pStyle w:val="Normln1"/>
        <w:numPr>
          <w:ilvl w:val="0"/>
          <w:numId w:val="12"/>
        </w:numPr>
        <w:spacing w:line="276" w:lineRule="auto"/>
        <w:rPr>
          <w:rFonts w:ascii="Arial" w:hAnsi="Arial"/>
          <w:sz w:val="28"/>
        </w:rPr>
      </w:pPr>
      <w:r>
        <w:rPr>
          <w:sz w:val="24"/>
        </w:rPr>
        <w:t>příklady</w:t>
      </w:r>
      <w:r w:rsidR="00E70954">
        <w:rPr>
          <w:sz w:val="24"/>
        </w:rPr>
        <w:t xml:space="preserve"> zrakov</w:t>
      </w:r>
      <w:r>
        <w:rPr>
          <w:sz w:val="24"/>
        </w:rPr>
        <w:t>ých</w:t>
      </w:r>
      <w:r w:rsidR="00E70954">
        <w:rPr>
          <w:sz w:val="24"/>
        </w:rPr>
        <w:t xml:space="preserve"> činnost</w:t>
      </w:r>
      <w:r>
        <w:rPr>
          <w:sz w:val="24"/>
        </w:rPr>
        <w:t>í</w:t>
      </w:r>
      <w:r w:rsidR="00E70954">
        <w:rPr>
          <w:sz w:val="24"/>
        </w:rPr>
        <w:tab/>
      </w:r>
      <w:r>
        <w:rPr>
          <w:sz w:val="24"/>
        </w:rPr>
        <w:tab/>
      </w:r>
      <w:r w:rsidR="00E70954">
        <w:rPr>
          <w:sz w:val="24"/>
        </w:rPr>
        <w:t xml:space="preserve">… </w:t>
      </w:r>
      <w:r w:rsidR="00F71A30">
        <w:rPr>
          <w:sz w:val="24"/>
        </w:rPr>
        <w:t xml:space="preserve">čtení, psaní (rukou i strojem), běžné </w:t>
      </w:r>
    </w:p>
    <w:p w:rsidR="00E70954" w:rsidRPr="000E147D" w:rsidRDefault="0079460F" w:rsidP="0079460F">
      <w:pPr>
        <w:pStyle w:val="Normln1"/>
        <w:spacing w:line="276" w:lineRule="auto"/>
        <w:ind w:left="3552" w:firstLine="696"/>
        <w:rPr>
          <w:rFonts w:ascii="Arial" w:hAnsi="Arial"/>
          <w:sz w:val="28"/>
        </w:rPr>
      </w:pPr>
      <w:r>
        <w:rPr>
          <w:sz w:val="24"/>
        </w:rPr>
        <w:t xml:space="preserve">     </w:t>
      </w:r>
      <w:r w:rsidR="00F71A30">
        <w:rPr>
          <w:sz w:val="24"/>
        </w:rPr>
        <w:t>laboratorní práce</w:t>
      </w:r>
      <w:r>
        <w:rPr>
          <w:sz w:val="24"/>
        </w:rPr>
        <w:t>, apod.</w:t>
      </w:r>
    </w:p>
    <w:p w:rsidR="00E70954" w:rsidRPr="00D913A4" w:rsidRDefault="00E70954" w:rsidP="00E70954">
      <w:pPr>
        <w:pStyle w:val="Normln1"/>
        <w:numPr>
          <w:ilvl w:val="0"/>
          <w:numId w:val="12"/>
        </w:numPr>
        <w:spacing w:line="276" w:lineRule="auto"/>
        <w:rPr>
          <w:rFonts w:ascii="Arial" w:hAnsi="Arial"/>
          <w:sz w:val="28"/>
        </w:rPr>
      </w:pPr>
      <w:r>
        <w:rPr>
          <w:sz w:val="24"/>
        </w:rPr>
        <w:t>poměrná pozorovací vzdálenost</w:t>
      </w:r>
      <w:r>
        <w:rPr>
          <w:sz w:val="24"/>
        </w:rPr>
        <w:tab/>
        <w:t xml:space="preserve">… </w:t>
      </w:r>
      <w:r w:rsidR="0079460F">
        <w:rPr>
          <w:sz w:val="24"/>
        </w:rPr>
        <w:t>5</w:t>
      </w:r>
      <w:r>
        <w:rPr>
          <w:sz w:val="24"/>
        </w:rPr>
        <w:t xml:space="preserve">00 až </w:t>
      </w:r>
      <w:r w:rsidR="0079460F">
        <w:rPr>
          <w:sz w:val="24"/>
        </w:rPr>
        <w:t>10</w:t>
      </w:r>
      <w:r>
        <w:rPr>
          <w:sz w:val="24"/>
        </w:rPr>
        <w:t>00</w:t>
      </w:r>
      <w:r w:rsidR="0079460F">
        <w:rPr>
          <w:sz w:val="24"/>
        </w:rPr>
        <w:t xml:space="preserve"> mm</w:t>
      </w:r>
    </w:p>
    <w:p w:rsidR="00E70954" w:rsidRPr="00A61E78" w:rsidRDefault="00E70954" w:rsidP="00E70954">
      <w:pPr>
        <w:pStyle w:val="Normln1"/>
        <w:numPr>
          <w:ilvl w:val="0"/>
          <w:numId w:val="12"/>
        </w:numPr>
        <w:spacing w:line="276" w:lineRule="auto"/>
        <w:rPr>
          <w:rFonts w:ascii="Arial" w:hAnsi="Arial"/>
          <w:sz w:val="28"/>
        </w:rPr>
      </w:pPr>
      <w:r>
        <w:rPr>
          <w:sz w:val="24"/>
        </w:rPr>
        <w:t>minimální hodnota činitele denní osvětlenosti</w:t>
      </w:r>
      <w:r>
        <w:rPr>
          <w:sz w:val="24"/>
        </w:rPr>
        <w:tab/>
        <w:t xml:space="preserve">… </w:t>
      </w:r>
      <w:proofErr w:type="spellStart"/>
      <w:r>
        <w:rPr>
          <w:sz w:val="24"/>
        </w:rPr>
        <w:t>Dmin</w:t>
      </w:r>
      <w:proofErr w:type="spellEnd"/>
      <w:r>
        <w:rPr>
          <w:sz w:val="24"/>
        </w:rPr>
        <w:t>. = 1</w:t>
      </w:r>
      <w:r w:rsidR="0079460F">
        <w:rPr>
          <w:sz w:val="24"/>
        </w:rPr>
        <w:t>,5</w:t>
      </w:r>
      <w:r>
        <w:rPr>
          <w:sz w:val="24"/>
        </w:rPr>
        <w:t xml:space="preserve"> %</w:t>
      </w:r>
    </w:p>
    <w:p w:rsidR="00E70954" w:rsidRPr="00A61E78" w:rsidRDefault="00E70954" w:rsidP="00E70954">
      <w:pPr>
        <w:pStyle w:val="Normln1"/>
        <w:numPr>
          <w:ilvl w:val="0"/>
          <w:numId w:val="12"/>
        </w:numPr>
        <w:spacing w:line="276" w:lineRule="auto"/>
        <w:rPr>
          <w:rFonts w:ascii="Arial" w:hAnsi="Arial"/>
          <w:sz w:val="28"/>
        </w:rPr>
      </w:pPr>
      <w:r>
        <w:rPr>
          <w:sz w:val="24"/>
        </w:rPr>
        <w:t>průměrná hodnota činitele denní osvětlenosti</w:t>
      </w:r>
      <w:r>
        <w:rPr>
          <w:sz w:val="24"/>
        </w:rPr>
        <w:tab/>
        <w:t xml:space="preserve">… </w:t>
      </w:r>
      <w:proofErr w:type="spellStart"/>
      <w:r>
        <w:rPr>
          <w:sz w:val="24"/>
        </w:rPr>
        <w:t>Dmax</w:t>
      </w:r>
      <w:proofErr w:type="spellEnd"/>
      <w:r>
        <w:rPr>
          <w:sz w:val="24"/>
        </w:rPr>
        <w:t xml:space="preserve">. = </w:t>
      </w:r>
      <w:r w:rsidR="0079460F">
        <w:rPr>
          <w:sz w:val="24"/>
        </w:rPr>
        <w:t>5</w:t>
      </w:r>
      <w:r>
        <w:rPr>
          <w:sz w:val="24"/>
        </w:rPr>
        <w:t xml:space="preserve"> %</w:t>
      </w:r>
    </w:p>
    <w:p w:rsidR="00D913A4" w:rsidRDefault="00D913A4" w:rsidP="00CB3EDC">
      <w:pPr>
        <w:pStyle w:val="Normln1"/>
        <w:spacing w:line="276" w:lineRule="auto"/>
        <w:ind w:left="720"/>
        <w:rPr>
          <w:sz w:val="24"/>
        </w:rPr>
      </w:pPr>
    </w:p>
    <w:p w:rsidR="00736C9C" w:rsidRDefault="006411A1" w:rsidP="006411A1">
      <w:pPr>
        <w:pStyle w:val="Normln1"/>
        <w:spacing w:line="276" w:lineRule="auto"/>
        <w:ind w:firstLine="360"/>
        <w:jc w:val="both"/>
        <w:rPr>
          <w:sz w:val="24"/>
        </w:rPr>
      </w:pPr>
      <w:r>
        <w:rPr>
          <w:sz w:val="24"/>
        </w:rPr>
        <w:t>Požadavky minimálních hodnot činitele denního osvětlení nejso</w:t>
      </w:r>
      <w:r w:rsidR="003D2EB2">
        <w:rPr>
          <w:sz w:val="24"/>
        </w:rPr>
        <w:t>u splněny</w:t>
      </w:r>
      <w:r w:rsidR="0079460F">
        <w:rPr>
          <w:sz w:val="24"/>
        </w:rPr>
        <w:t xml:space="preserve"> v kancelářích č</w:t>
      </w:r>
      <w:r w:rsidR="00F61347">
        <w:rPr>
          <w:sz w:val="24"/>
        </w:rPr>
        <w:t>íslo</w:t>
      </w:r>
      <w:r w:rsidR="0079460F">
        <w:rPr>
          <w:sz w:val="24"/>
        </w:rPr>
        <w:t xml:space="preserve"> 4.05, 4.07, 4.08, 4.09 a 4.10</w:t>
      </w:r>
      <w:r w:rsidR="003D2EB2">
        <w:rPr>
          <w:sz w:val="24"/>
        </w:rPr>
        <w:t xml:space="preserve">. </w:t>
      </w:r>
      <w:r w:rsidR="0079460F">
        <w:rPr>
          <w:sz w:val="24"/>
        </w:rPr>
        <w:t>Průměrná</w:t>
      </w:r>
      <w:r w:rsidR="005F36DD">
        <w:rPr>
          <w:sz w:val="24"/>
        </w:rPr>
        <w:t xml:space="preserve"> </w:t>
      </w:r>
      <w:r w:rsidR="00F61347">
        <w:rPr>
          <w:sz w:val="24"/>
        </w:rPr>
        <w:t xml:space="preserve">výpočtová </w:t>
      </w:r>
      <w:r w:rsidR="0079460F">
        <w:rPr>
          <w:sz w:val="24"/>
        </w:rPr>
        <w:t xml:space="preserve">hodnota </w:t>
      </w:r>
      <w:r w:rsidR="003D2EB2">
        <w:rPr>
          <w:sz w:val="24"/>
        </w:rPr>
        <w:t>intenzit</w:t>
      </w:r>
      <w:r w:rsidR="0079460F">
        <w:rPr>
          <w:sz w:val="24"/>
        </w:rPr>
        <w:t>y</w:t>
      </w:r>
      <w:r w:rsidR="003D2EB2">
        <w:rPr>
          <w:sz w:val="24"/>
        </w:rPr>
        <w:t xml:space="preserve"> umělého osvětlení </w:t>
      </w:r>
      <w:r w:rsidR="0079460F">
        <w:rPr>
          <w:sz w:val="24"/>
        </w:rPr>
        <w:t xml:space="preserve">v </w:t>
      </w:r>
      <w:r w:rsidR="003D2EB2">
        <w:rPr>
          <w:sz w:val="24"/>
        </w:rPr>
        <w:t>těchto prostor</w:t>
      </w:r>
      <w:r w:rsidR="0079460F">
        <w:rPr>
          <w:sz w:val="24"/>
        </w:rPr>
        <w:t>ách</w:t>
      </w:r>
      <w:r w:rsidR="003D2EB2">
        <w:rPr>
          <w:sz w:val="24"/>
        </w:rPr>
        <w:t xml:space="preserve"> </w:t>
      </w:r>
      <w:r w:rsidR="00F61347">
        <w:rPr>
          <w:sz w:val="24"/>
        </w:rPr>
        <w:t>je</w:t>
      </w:r>
      <w:r w:rsidR="0079460F">
        <w:rPr>
          <w:sz w:val="24"/>
        </w:rPr>
        <w:t xml:space="preserve"> proto </w:t>
      </w:r>
      <w:r w:rsidR="003D2EB2">
        <w:rPr>
          <w:sz w:val="24"/>
        </w:rPr>
        <w:t>navýšena o jeden stupeň v řadě jmenovitých hodnot</w:t>
      </w:r>
      <w:r w:rsidR="0079460F">
        <w:rPr>
          <w:sz w:val="24"/>
        </w:rPr>
        <w:t xml:space="preserve"> dle EN 12</w:t>
      </w:r>
      <w:r w:rsidR="002371BC">
        <w:rPr>
          <w:sz w:val="24"/>
        </w:rPr>
        <w:t>665</w:t>
      </w:r>
      <w:r w:rsidR="003D2EB2">
        <w:rPr>
          <w:sz w:val="24"/>
        </w:rPr>
        <w:t>.</w:t>
      </w:r>
    </w:p>
    <w:p w:rsidR="006411A1" w:rsidRDefault="006411A1" w:rsidP="006411A1">
      <w:pPr>
        <w:pStyle w:val="Normln1"/>
        <w:spacing w:line="276" w:lineRule="auto"/>
        <w:jc w:val="both"/>
        <w:rPr>
          <w:rFonts w:ascii="Arial" w:hAnsi="Arial"/>
          <w:sz w:val="28"/>
        </w:rPr>
      </w:pPr>
    </w:p>
    <w:p w:rsidR="000A65B9" w:rsidRDefault="009E2489" w:rsidP="006411A1">
      <w:pPr>
        <w:pStyle w:val="Normln1"/>
        <w:spacing w:line="276" w:lineRule="auto"/>
        <w:jc w:val="both"/>
        <w:rPr>
          <w:sz w:val="24"/>
        </w:rPr>
      </w:pPr>
      <w:r>
        <w:rPr>
          <w:sz w:val="24"/>
        </w:rPr>
        <w:t xml:space="preserve">Výsledky výpočtů denního osvětlení jsou </w:t>
      </w:r>
      <w:r w:rsidR="0079460F">
        <w:rPr>
          <w:sz w:val="24"/>
        </w:rPr>
        <w:t>uvedeny</w:t>
      </w:r>
      <w:r>
        <w:rPr>
          <w:sz w:val="24"/>
        </w:rPr>
        <w:t xml:space="preserve"> ve výpočtových protokolech, které jsou nedílnou součástí této dokumentace. </w:t>
      </w:r>
      <w:r w:rsidR="00F72375">
        <w:rPr>
          <w:sz w:val="24"/>
        </w:rPr>
        <w:t xml:space="preserve">Izolinie činitele denního osvětlení jsou zakresleny </w:t>
      </w:r>
      <w:r w:rsidR="0079460F">
        <w:rPr>
          <w:sz w:val="24"/>
        </w:rPr>
        <w:t>na</w:t>
      </w:r>
      <w:r w:rsidR="00F72375">
        <w:rPr>
          <w:sz w:val="24"/>
        </w:rPr>
        <w:t xml:space="preserve"> výkres</w:t>
      </w:r>
      <w:r w:rsidR="0079460F">
        <w:rPr>
          <w:sz w:val="24"/>
        </w:rPr>
        <w:t xml:space="preserve">e </w:t>
      </w:r>
      <w:proofErr w:type="gramStart"/>
      <w:r w:rsidR="0079460F">
        <w:rPr>
          <w:sz w:val="24"/>
        </w:rPr>
        <w:t>č.1</w:t>
      </w:r>
      <w:r w:rsidR="00F72375">
        <w:rPr>
          <w:sz w:val="24"/>
        </w:rPr>
        <w:t>.</w:t>
      </w:r>
      <w:proofErr w:type="gramEnd"/>
    </w:p>
    <w:p w:rsidR="005F36DD" w:rsidRDefault="005F36DD" w:rsidP="00CB3EDC">
      <w:pPr>
        <w:pStyle w:val="Holub-n"/>
        <w:spacing w:line="276" w:lineRule="auto"/>
        <w:jc w:val="both"/>
        <w:rPr>
          <w:rFonts w:ascii="Times New Roman" w:hAnsi="Times New Roman"/>
          <w:b/>
          <w:sz w:val="24"/>
          <w:u w:val="single"/>
        </w:rPr>
      </w:pPr>
    </w:p>
    <w:p w:rsidR="009E2489" w:rsidRPr="000A65B9" w:rsidRDefault="009E2489" w:rsidP="00CB3EDC">
      <w:pPr>
        <w:pStyle w:val="Holub-n"/>
        <w:spacing w:line="276" w:lineRule="auto"/>
        <w:jc w:val="both"/>
        <w:rPr>
          <w:rFonts w:ascii="Times New Roman" w:hAnsi="Times New Roman"/>
          <w:b/>
          <w:sz w:val="24"/>
          <w:u w:val="single"/>
        </w:rPr>
      </w:pPr>
      <w:r w:rsidRPr="000A65B9">
        <w:rPr>
          <w:rFonts w:ascii="Times New Roman" w:hAnsi="Times New Roman"/>
          <w:b/>
          <w:sz w:val="24"/>
          <w:u w:val="single"/>
        </w:rPr>
        <w:lastRenderedPageBreak/>
        <w:t>Umělé osvětlení</w:t>
      </w:r>
      <w:r w:rsidR="00394371">
        <w:rPr>
          <w:rFonts w:ascii="Times New Roman" w:hAnsi="Times New Roman"/>
          <w:b/>
          <w:sz w:val="24"/>
          <w:u w:val="single"/>
        </w:rPr>
        <w:t xml:space="preserve"> skladovací haly</w:t>
      </w:r>
    </w:p>
    <w:p w:rsidR="00CB3EDC" w:rsidRDefault="00CB3EDC" w:rsidP="00CB3EDC">
      <w:pPr>
        <w:pStyle w:val="Normln1"/>
        <w:spacing w:line="276" w:lineRule="auto"/>
        <w:rPr>
          <w:rFonts w:ascii="Arial" w:hAnsi="Arial"/>
          <w:sz w:val="28"/>
        </w:rPr>
      </w:pPr>
    </w:p>
    <w:p w:rsidR="000A65B9" w:rsidRPr="009E2489" w:rsidRDefault="000A65B9" w:rsidP="00CB3EDC">
      <w:pPr>
        <w:pStyle w:val="Holub-n"/>
        <w:spacing w:line="276" w:lineRule="auto"/>
        <w:jc w:val="both"/>
        <w:rPr>
          <w:rFonts w:cs="Arial"/>
          <w:i/>
          <w:szCs w:val="22"/>
        </w:rPr>
      </w:pPr>
      <w:r w:rsidRPr="009E2489">
        <w:rPr>
          <w:rFonts w:cs="Arial"/>
          <w:i/>
          <w:szCs w:val="22"/>
        </w:rPr>
        <w:t xml:space="preserve">Základní požadavky na </w:t>
      </w:r>
      <w:r>
        <w:rPr>
          <w:rFonts w:cs="Arial"/>
          <w:i/>
          <w:szCs w:val="22"/>
        </w:rPr>
        <w:t>umělé</w:t>
      </w:r>
      <w:r w:rsidRPr="009E2489">
        <w:rPr>
          <w:rFonts w:cs="Arial"/>
          <w:i/>
          <w:szCs w:val="22"/>
        </w:rPr>
        <w:t xml:space="preserve"> osvětlení</w:t>
      </w:r>
    </w:p>
    <w:p w:rsidR="00391A56" w:rsidRDefault="00391A56" w:rsidP="00CB3EDC">
      <w:pPr>
        <w:spacing w:line="276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:rsidR="00DA697C" w:rsidRPr="002371BC" w:rsidRDefault="00DA697C" w:rsidP="00CB3EDC">
      <w:pPr>
        <w:spacing w:line="276" w:lineRule="auto"/>
        <w:jc w:val="both"/>
        <w:rPr>
          <w:bCs/>
        </w:rPr>
      </w:pPr>
      <w:r w:rsidRPr="002371BC">
        <w:rPr>
          <w:bCs/>
        </w:rPr>
        <w:t>Specifikace požadavků osvětlení dle ČSN EN 12464-1:</w:t>
      </w:r>
    </w:p>
    <w:p w:rsidR="00DA697C" w:rsidRPr="002371BC" w:rsidRDefault="00DA697C" w:rsidP="00CB3EDC">
      <w:pPr>
        <w:spacing w:line="276" w:lineRule="auto"/>
        <w:jc w:val="both"/>
        <w:rPr>
          <w:bCs/>
          <w:i/>
        </w:rPr>
      </w:pPr>
      <w:proofErr w:type="spellStart"/>
      <w:r w:rsidRPr="002371BC">
        <w:rPr>
          <w:bCs/>
          <w:i/>
        </w:rPr>
        <w:t>Ref</w:t>
      </w:r>
      <w:proofErr w:type="spellEnd"/>
      <w:r w:rsidRPr="002371BC">
        <w:rPr>
          <w:bCs/>
          <w:i/>
        </w:rPr>
        <w:t>. číslo</w:t>
      </w:r>
      <w:r w:rsidRPr="002371BC">
        <w:rPr>
          <w:bCs/>
          <w:i/>
        </w:rPr>
        <w:tab/>
        <w:t xml:space="preserve">druh </w:t>
      </w:r>
      <w:r w:rsidR="002371BC" w:rsidRPr="002371BC">
        <w:rPr>
          <w:bCs/>
          <w:i/>
        </w:rPr>
        <w:t>činnosti</w:t>
      </w:r>
      <w:r w:rsidRPr="002371BC">
        <w:rPr>
          <w:bCs/>
          <w:i/>
        </w:rPr>
        <w:tab/>
        <w:t xml:space="preserve">          </w:t>
      </w:r>
      <w:r w:rsidR="002371BC" w:rsidRPr="002371BC">
        <w:rPr>
          <w:bCs/>
          <w:i/>
        </w:rPr>
        <w:tab/>
      </w:r>
      <w:r w:rsidR="002371BC" w:rsidRPr="002371BC">
        <w:rPr>
          <w:bCs/>
          <w:i/>
        </w:rPr>
        <w:tab/>
      </w:r>
      <w:r w:rsidRPr="002371BC">
        <w:rPr>
          <w:bCs/>
          <w:i/>
        </w:rPr>
        <w:t>Em (</w:t>
      </w:r>
      <w:proofErr w:type="spellStart"/>
      <w:r w:rsidR="001A0A0E" w:rsidRPr="002371BC">
        <w:rPr>
          <w:bCs/>
          <w:i/>
        </w:rPr>
        <w:t>l</w:t>
      </w:r>
      <w:r w:rsidRPr="002371BC">
        <w:rPr>
          <w:bCs/>
          <w:i/>
        </w:rPr>
        <w:t>x</w:t>
      </w:r>
      <w:proofErr w:type="spellEnd"/>
      <w:r w:rsidRPr="002371BC">
        <w:rPr>
          <w:bCs/>
          <w:i/>
        </w:rPr>
        <w:t>)     UGR</w:t>
      </w:r>
      <w:r w:rsidRPr="002371BC">
        <w:rPr>
          <w:bCs/>
          <w:i/>
          <w:vertAlign w:val="subscript"/>
        </w:rPr>
        <w:t>L</w:t>
      </w:r>
      <w:r w:rsidRPr="002371BC">
        <w:rPr>
          <w:bCs/>
          <w:i/>
        </w:rPr>
        <w:tab/>
      </w:r>
      <w:proofErr w:type="spellStart"/>
      <w:r w:rsidRPr="002371BC">
        <w:rPr>
          <w:bCs/>
          <w:i/>
        </w:rPr>
        <w:t>R</w:t>
      </w:r>
      <w:r w:rsidRPr="002371BC">
        <w:rPr>
          <w:bCs/>
          <w:i/>
          <w:vertAlign w:val="subscript"/>
        </w:rPr>
        <w:t>a</w:t>
      </w:r>
      <w:proofErr w:type="spellEnd"/>
      <w:r w:rsidRPr="002371BC">
        <w:rPr>
          <w:bCs/>
          <w:i/>
        </w:rPr>
        <w:t xml:space="preserve"> </w:t>
      </w:r>
      <w:r w:rsidRPr="002371BC">
        <w:rPr>
          <w:bCs/>
          <w:i/>
        </w:rPr>
        <w:tab/>
        <w:t>U</w:t>
      </w:r>
      <w:r w:rsidRPr="002371BC">
        <w:rPr>
          <w:bCs/>
          <w:i/>
          <w:vertAlign w:val="subscript"/>
        </w:rPr>
        <w:t>0</w:t>
      </w:r>
    </w:p>
    <w:p w:rsidR="00736C9C" w:rsidRPr="002371BC" w:rsidRDefault="00736C9C" w:rsidP="00736C9C">
      <w:pPr>
        <w:pStyle w:val="Bezmezer"/>
        <w:spacing w:line="276" w:lineRule="auto"/>
      </w:pPr>
      <w:r w:rsidRPr="002371BC">
        <w:t>5.</w:t>
      </w:r>
      <w:r w:rsidR="0079460F" w:rsidRPr="002371BC">
        <w:t>26.2</w:t>
      </w:r>
      <w:r w:rsidRPr="002371BC">
        <w:tab/>
        <w:t xml:space="preserve"> </w:t>
      </w:r>
      <w:r w:rsidRPr="002371BC">
        <w:tab/>
      </w:r>
      <w:r w:rsidR="002371BC" w:rsidRPr="002371BC">
        <w:t>psaní, psaní na stroji</w:t>
      </w:r>
      <w:r w:rsidRPr="002371BC">
        <w:t xml:space="preserve"> </w:t>
      </w:r>
      <w:r w:rsidRPr="002371BC">
        <w:tab/>
      </w:r>
      <w:r w:rsidR="002371BC" w:rsidRPr="002371BC">
        <w:tab/>
        <w:t xml:space="preserve">  5</w:t>
      </w:r>
      <w:r w:rsidRPr="002371BC">
        <w:t>00</w:t>
      </w:r>
      <w:r w:rsidRPr="002371BC">
        <w:tab/>
      </w:r>
      <w:r w:rsidR="001A3F79" w:rsidRPr="002371BC">
        <w:t xml:space="preserve">     </w:t>
      </w:r>
      <w:r w:rsidR="002371BC">
        <w:t xml:space="preserve">   </w:t>
      </w:r>
      <w:r w:rsidR="002371BC" w:rsidRPr="002371BC">
        <w:t>19</w:t>
      </w:r>
      <w:r w:rsidRPr="002371BC">
        <w:tab/>
      </w:r>
      <w:r w:rsidR="002371BC" w:rsidRPr="002371BC">
        <w:t>8</w:t>
      </w:r>
      <w:r w:rsidRPr="002371BC">
        <w:t>0</w:t>
      </w:r>
      <w:r w:rsidRPr="002371BC">
        <w:tab/>
        <w:t>0,</w:t>
      </w:r>
      <w:r w:rsidR="002371BC" w:rsidRPr="002371BC">
        <w:t>6</w:t>
      </w:r>
      <w:r w:rsidRPr="002371BC">
        <w:tab/>
      </w:r>
    </w:p>
    <w:p w:rsidR="00F72375" w:rsidRPr="002371BC" w:rsidRDefault="002371BC" w:rsidP="00CB3EDC">
      <w:pPr>
        <w:pStyle w:val="Bezmezer"/>
        <w:spacing w:line="276" w:lineRule="auto"/>
      </w:pPr>
      <w:r w:rsidRPr="002371BC">
        <w:tab/>
      </w:r>
      <w:r w:rsidRPr="002371BC">
        <w:tab/>
        <w:t>čtení, zpracování dat</w:t>
      </w:r>
    </w:p>
    <w:p w:rsidR="002371BC" w:rsidRPr="002371BC" w:rsidRDefault="002371BC" w:rsidP="00CB3EDC">
      <w:pPr>
        <w:pStyle w:val="Bezmezer"/>
        <w:spacing w:line="276" w:lineRule="auto"/>
      </w:pPr>
      <w:r>
        <w:softHyphen/>
        <w:t>__________________________________________</w:t>
      </w:r>
    </w:p>
    <w:p w:rsidR="002371BC" w:rsidRPr="002371BC" w:rsidRDefault="002371BC" w:rsidP="00CB3EDC">
      <w:pPr>
        <w:pStyle w:val="Bezmezer"/>
        <w:spacing w:line="276" w:lineRule="auto"/>
      </w:pPr>
      <w:r w:rsidRPr="002371BC">
        <w:t>Em (</w:t>
      </w:r>
      <w:proofErr w:type="spellStart"/>
      <w:r w:rsidRPr="002371BC">
        <w:t>lx</w:t>
      </w:r>
      <w:proofErr w:type="spellEnd"/>
      <w:r w:rsidRPr="002371BC">
        <w:t xml:space="preserve">) </w:t>
      </w:r>
      <w:r w:rsidRPr="002371BC">
        <w:tab/>
        <w:t>… udržovaná osvětlenost</w:t>
      </w:r>
    </w:p>
    <w:p w:rsidR="002371BC" w:rsidRPr="002371BC" w:rsidRDefault="002371BC" w:rsidP="00CB3EDC">
      <w:pPr>
        <w:pStyle w:val="Bezmezer"/>
        <w:spacing w:line="276" w:lineRule="auto"/>
      </w:pPr>
      <w:r w:rsidRPr="002371BC">
        <w:t>UGR</w:t>
      </w:r>
      <w:r w:rsidRPr="002371BC">
        <w:tab/>
        <w:t>… maximální mezní hodnota indexu oslnění</w:t>
      </w:r>
    </w:p>
    <w:p w:rsidR="002371BC" w:rsidRPr="002371BC" w:rsidRDefault="002371BC" w:rsidP="00CB3EDC">
      <w:pPr>
        <w:pStyle w:val="Bezmezer"/>
        <w:spacing w:line="276" w:lineRule="auto"/>
      </w:pPr>
      <w:proofErr w:type="spellStart"/>
      <w:r w:rsidRPr="002371BC">
        <w:t>R</w:t>
      </w:r>
      <w:r w:rsidRPr="002371BC">
        <w:rPr>
          <w:vertAlign w:val="subscript"/>
        </w:rPr>
        <w:t>a</w:t>
      </w:r>
      <w:proofErr w:type="spellEnd"/>
      <w:r w:rsidRPr="002371BC">
        <w:tab/>
        <w:t>… minimální index podání barev</w:t>
      </w:r>
    </w:p>
    <w:p w:rsidR="002371BC" w:rsidRPr="002371BC" w:rsidRDefault="002371BC" w:rsidP="00CB3EDC">
      <w:pPr>
        <w:pStyle w:val="Bezmezer"/>
        <w:spacing w:line="276" w:lineRule="auto"/>
      </w:pPr>
      <w:r w:rsidRPr="002371BC">
        <w:t>U</w:t>
      </w:r>
      <w:r w:rsidRPr="002371BC">
        <w:rPr>
          <w:vertAlign w:val="subscript"/>
        </w:rPr>
        <w:t>0</w:t>
      </w:r>
      <w:r w:rsidRPr="002371BC">
        <w:tab/>
        <w:t>… minimální rovnoměrnost osvětlení</w:t>
      </w:r>
    </w:p>
    <w:p w:rsidR="002371BC" w:rsidRPr="002371BC" w:rsidRDefault="002371BC" w:rsidP="00CB3EDC">
      <w:pPr>
        <w:pStyle w:val="Bezmezer"/>
        <w:spacing w:line="276" w:lineRule="auto"/>
      </w:pPr>
    </w:p>
    <w:p w:rsidR="002468F2" w:rsidRDefault="002371BC" w:rsidP="002468F2">
      <w:pPr>
        <w:pStyle w:val="Normln1"/>
        <w:spacing w:line="276" w:lineRule="auto"/>
        <w:ind w:firstLine="708"/>
        <w:jc w:val="both"/>
        <w:rPr>
          <w:sz w:val="24"/>
        </w:rPr>
      </w:pPr>
      <w:r>
        <w:rPr>
          <w:sz w:val="24"/>
        </w:rPr>
        <w:t>O</w:t>
      </w:r>
      <w:r w:rsidR="001A0A0E">
        <w:rPr>
          <w:sz w:val="24"/>
        </w:rPr>
        <w:t>světlení</w:t>
      </w:r>
      <w:r>
        <w:rPr>
          <w:sz w:val="24"/>
        </w:rPr>
        <w:t xml:space="preserve"> kanceláří</w:t>
      </w:r>
      <w:r w:rsidR="001A0A0E">
        <w:rPr>
          <w:sz w:val="24"/>
        </w:rPr>
        <w:t xml:space="preserve"> </w:t>
      </w:r>
      <w:r w:rsidR="00FE09FD">
        <w:rPr>
          <w:sz w:val="24"/>
        </w:rPr>
        <w:t>je navrženo</w:t>
      </w:r>
      <w:r w:rsidR="001A0A0E">
        <w:rPr>
          <w:sz w:val="24"/>
        </w:rPr>
        <w:t xml:space="preserve"> </w:t>
      </w:r>
      <w:r>
        <w:rPr>
          <w:sz w:val="24"/>
        </w:rPr>
        <w:t xml:space="preserve">LED </w:t>
      </w:r>
      <w:r w:rsidR="001A0A0E">
        <w:rPr>
          <w:sz w:val="24"/>
        </w:rPr>
        <w:t>svítidly</w:t>
      </w:r>
      <w:r>
        <w:rPr>
          <w:sz w:val="24"/>
        </w:rPr>
        <w:t xml:space="preserve"> </w:t>
      </w:r>
      <w:r w:rsidR="001A0A0E">
        <w:rPr>
          <w:sz w:val="24"/>
        </w:rPr>
        <w:t xml:space="preserve">zavěšenými ve výšce </w:t>
      </w:r>
      <w:r>
        <w:rPr>
          <w:sz w:val="24"/>
        </w:rPr>
        <w:t>2</w:t>
      </w:r>
      <w:r w:rsidR="002468F2">
        <w:rPr>
          <w:sz w:val="24"/>
        </w:rPr>
        <w:t>,</w:t>
      </w:r>
      <w:r>
        <w:rPr>
          <w:sz w:val="24"/>
        </w:rPr>
        <w:t xml:space="preserve">8 </w:t>
      </w:r>
      <w:r w:rsidR="001A0A0E">
        <w:rPr>
          <w:sz w:val="24"/>
        </w:rPr>
        <w:t>m</w:t>
      </w:r>
      <w:r>
        <w:rPr>
          <w:sz w:val="24"/>
        </w:rPr>
        <w:t xml:space="preserve"> nad podlahou, pouze v místnosti 4.18 bude výška </w:t>
      </w:r>
      <w:r w:rsidR="002468F2">
        <w:rPr>
          <w:sz w:val="24"/>
        </w:rPr>
        <w:t>instalace</w:t>
      </w:r>
      <w:r>
        <w:rPr>
          <w:sz w:val="24"/>
        </w:rPr>
        <w:t xml:space="preserve"> svítidel </w:t>
      </w:r>
      <w:r w:rsidR="002468F2">
        <w:rPr>
          <w:sz w:val="24"/>
        </w:rPr>
        <w:t>2,7 m nad podlahou</w:t>
      </w:r>
      <w:r w:rsidR="001A0A0E">
        <w:rPr>
          <w:sz w:val="24"/>
        </w:rPr>
        <w:t xml:space="preserve">, </w:t>
      </w:r>
      <w:r w:rsidR="002468F2">
        <w:rPr>
          <w:sz w:val="24"/>
        </w:rPr>
        <w:t xml:space="preserve">a to z důvodu dvojí výškové úrovně podlahy. Svítidla v prostoru s výškou podlahy 12,150m budou zavěšena ve výšce 2,7m nad podlahou, svítidla v prostoru s výškou podlahy 13,050m budou přisazena ke stropu. Svítidla </w:t>
      </w:r>
      <w:r w:rsidR="00FE09FD">
        <w:rPr>
          <w:sz w:val="24"/>
        </w:rPr>
        <w:t xml:space="preserve">jsou </w:t>
      </w:r>
      <w:r w:rsidR="002468F2">
        <w:rPr>
          <w:sz w:val="24"/>
        </w:rPr>
        <w:t xml:space="preserve">tak </w:t>
      </w:r>
      <w:r w:rsidR="00FE09FD">
        <w:rPr>
          <w:sz w:val="24"/>
        </w:rPr>
        <w:t xml:space="preserve">tak vytvoří společnou pohledovou </w:t>
      </w:r>
      <w:proofErr w:type="gramStart"/>
      <w:r w:rsidR="00FE09FD">
        <w:rPr>
          <w:sz w:val="24"/>
        </w:rPr>
        <w:t>osvětlovací  rovinu</w:t>
      </w:r>
      <w:proofErr w:type="gramEnd"/>
      <w:r w:rsidR="00FE09FD">
        <w:rPr>
          <w:sz w:val="24"/>
        </w:rPr>
        <w:t>.</w:t>
      </w:r>
      <w:r w:rsidR="001A0A0E">
        <w:rPr>
          <w:sz w:val="24"/>
        </w:rPr>
        <w:t xml:space="preserve"> </w:t>
      </w:r>
    </w:p>
    <w:p w:rsidR="002468F2" w:rsidRDefault="002468F2" w:rsidP="002468F2">
      <w:pPr>
        <w:pStyle w:val="Normln1"/>
        <w:spacing w:line="276" w:lineRule="auto"/>
        <w:ind w:firstLine="708"/>
        <w:jc w:val="both"/>
        <w:rPr>
          <w:sz w:val="24"/>
        </w:rPr>
      </w:pPr>
    </w:p>
    <w:p w:rsidR="00DA697C" w:rsidRDefault="00DA697C" w:rsidP="002468F2">
      <w:pPr>
        <w:pStyle w:val="Normln1"/>
        <w:spacing w:line="276" w:lineRule="auto"/>
        <w:ind w:firstLine="708"/>
        <w:jc w:val="both"/>
        <w:rPr>
          <w:sz w:val="24"/>
        </w:rPr>
      </w:pPr>
      <w:r>
        <w:rPr>
          <w:sz w:val="24"/>
        </w:rPr>
        <w:t>Výsledky výpočtů umělého osvětlení</w:t>
      </w:r>
      <w:r w:rsidR="001A0A0E">
        <w:rPr>
          <w:sz w:val="24"/>
        </w:rPr>
        <w:t>,</w:t>
      </w:r>
      <w:r>
        <w:rPr>
          <w:sz w:val="24"/>
        </w:rPr>
        <w:t xml:space="preserve"> </w:t>
      </w:r>
      <w:r w:rsidR="001A0A0E">
        <w:rPr>
          <w:sz w:val="24"/>
        </w:rPr>
        <w:t>včetně podrobné specifikace osvětlovacích těles a jejich rozmístění v</w:t>
      </w:r>
      <w:r w:rsidR="002468F2">
        <w:rPr>
          <w:sz w:val="24"/>
        </w:rPr>
        <w:t> jednotlivých místnostech</w:t>
      </w:r>
      <w:r w:rsidR="001A0A0E">
        <w:rPr>
          <w:sz w:val="24"/>
        </w:rPr>
        <w:t xml:space="preserve">, </w:t>
      </w:r>
      <w:r>
        <w:rPr>
          <w:sz w:val="24"/>
        </w:rPr>
        <w:t xml:space="preserve">jsou </w:t>
      </w:r>
      <w:r w:rsidR="001A0A0E">
        <w:rPr>
          <w:sz w:val="24"/>
        </w:rPr>
        <w:t>uvedeny</w:t>
      </w:r>
      <w:r>
        <w:rPr>
          <w:sz w:val="24"/>
        </w:rPr>
        <w:t xml:space="preserve"> ve výpočtových protokolech, které jsou nedílnou součástí této dokumentace. </w:t>
      </w:r>
    </w:p>
    <w:p w:rsidR="000A65B9" w:rsidRDefault="000A65B9" w:rsidP="00CB3EDC">
      <w:pPr>
        <w:pStyle w:val="Normln1"/>
        <w:spacing w:line="276" w:lineRule="auto"/>
        <w:rPr>
          <w:rFonts w:ascii="Arial" w:hAnsi="Arial"/>
          <w:sz w:val="28"/>
        </w:rPr>
      </w:pPr>
    </w:p>
    <w:p w:rsidR="00394371" w:rsidRPr="000A65B9" w:rsidRDefault="00394371" w:rsidP="00394371">
      <w:pPr>
        <w:pStyle w:val="Holub-n"/>
        <w:spacing w:line="276" w:lineRule="auto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Nouzové / únikové </w:t>
      </w:r>
      <w:r w:rsidRPr="000A65B9">
        <w:rPr>
          <w:rFonts w:ascii="Times New Roman" w:hAnsi="Times New Roman"/>
          <w:b/>
          <w:sz w:val="24"/>
          <w:u w:val="single"/>
        </w:rPr>
        <w:t>osvětlení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394371" w:rsidRDefault="00394371" w:rsidP="00394371">
      <w:pPr>
        <w:pStyle w:val="Normln1"/>
        <w:spacing w:line="276" w:lineRule="auto"/>
        <w:rPr>
          <w:rFonts w:ascii="Arial" w:hAnsi="Arial"/>
          <w:sz w:val="28"/>
        </w:rPr>
      </w:pPr>
    </w:p>
    <w:p w:rsidR="00145FFC" w:rsidRPr="00145FFC" w:rsidRDefault="00145FFC" w:rsidP="00145FFC">
      <w:pPr>
        <w:pStyle w:val="Normln1"/>
        <w:spacing w:line="276" w:lineRule="auto"/>
        <w:jc w:val="both"/>
        <w:rPr>
          <w:i/>
          <w:sz w:val="24"/>
          <w:u w:val="single"/>
        </w:rPr>
      </w:pPr>
      <w:r w:rsidRPr="00145FFC">
        <w:rPr>
          <w:i/>
          <w:sz w:val="24"/>
          <w:u w:val="single"/>
        </w:rPr>
        <w:t>Technické podmínky zajištění nouzového osvětlení:</w:t>
      </w:r>
    </w:p>
    <w:p w:rsidR="00394371" w:rsidRDefault="00394371" w:rsidP="00144CEF">
      <w:pPr>
        <w:pStyle w:val="Normln1"/>
        <w:spacing w:line="276" w:lineRule="auto"/>
        <w:ind w:firstLine="708"/>
        <w:jc w:val="both"/>
        <w:rPr>
          <w:sz w:val="24"/>
        </w:rPr>
      </w:pPr>
      <w:r>
        <w:rPr>
          <w:sz w:val="24"/>
        </w:rPr>
        <w:t xml:space="preserve">Pro zajištění viditelnosti při evakuaci se </w:t>
      </w:r>
      <w:r w:rsidR="00FE09FD">
        <w:rPr>
          <w:sz w:val="24"/>
        </w:rPr>
        <w:t xml:space="preserve">nouzové </w:t>
      </w:r>
      <w:r>
        <w:rPr>
          <w:sz w:val="24"/>
        </w:rPr>
        <w:t>osvětlení požaduje v celém prostoru. Montážní výška svítidel nouzového osvětlení musí být min. 2m nad podlahou. Značky, jež jsou na všech východech a podél únikových cest určeny k použití ve stavu nouze, musí být osvětleny, aby jednoznačně ukazovaly cestu úniku k bezpečnému místu.</w:t>
      </w:r>
    </w:p>
    <w:p w:rsidR="00144CEF" w:rsidRDefault="00144CEF" w:rsidP="00144CEF">
      <w:pPr>
        <w:pStyle w:val="Normln1"/>
        <w:spacing w:line="276" w:lineRule="auto"/>
        <w:ind w:firstLine="708"/>
        <w:jc w:val="both"/>
        <w:rPr>
          <w:sz w:val="24"/>
        </w:rPr>
      </w:pPr>
      <w:r>
        <w:rPr>
          <w:sz w:val="24"/>
        </w:rPr>
        <w:t xml:space="preserve">Minimální doba svícení nouzového únikového osvětlení přípustná pro únikové účely nesmí být kratší než 1 hodina. </w:t>
      </w:r>
    </w:p>
    <w:p w:rsidR="00FF1733" w:rsidRDefault="00144CEF" w:rsidP="00144CEF">
      <w:pPr>
        <w:pStyle w:val="Normln1"/>
        <w:spacing w:line="276" w:lineRule="auto"/>
        <w:jc w:val="both"/>
        <w:rPr>
          <w:sz w:val="24"/>
        </w:rPr>
      </w:pPr>
      <w:r>
        <w:rPr>
          <w:sz w:val="24"/>
        </w:rPr>
        <w:tab/>
      </w:r>
    </w:p>
    <w:p w:rsidR="00145FFC" w:rsidRPr="00145FFC" w:rsidRDefault="00145FFC" w:rsidP="00145FFC">
      <w:pPr>
        <w:pStyle w:val="Normln1"/>
        <w:spacing w:line="276" w:lineRule="auto"/>
        <w:jc w:val="both"/>
        <w:rPr>
          <w:i/>
          <w:sz w:val="24"/>
          <w:u w:val="single"/>
        </w:rPr>
      </w:pPr>
      <w:r w:rsidRPr="00145FFC">
        <w:rPr>
          <w:i/>
          <w:sz w:val="24"/>
          <w:u w:val="single"/>
        </w:rPr>
        <w:t>Technické řešení zajištění nouzového osvětlení:</w:t>
      </w:r>
    </w:p>
    <w:p w:rsidR="00145FFC" w:rsidRDefault="00FF1733" w:rsidP="00FF1733">
      <w:pPr>
        <w:pStyle w:val="Normln1"/>
        <w:spacing w:line="276" w:lineRule="auto"/>
        <w:ind w:firstLine="708"/>
        <w:jc w:val="both"/>
        <w:rPr>
          <w:sz w:val="24"/>
        </w:rPr>
      </w:pPr>
      <w:r>
        <w:rPr>
          <w:sz w:val="24"/>
        </w:rPr>
        <w:t xml:space="preserve">Nad dveřmi </w:t>
      </w:r>
      <w:r w:rsidR="002468F2">
        <w:rPr>
          <w:sz w:val="24"/>
        </w:rPr>
        <w:t>kanceláří ve směru odchodu z místnosti</w:t>
      </w:r>
      <w:r>
        <w:rPr>
          <w:sz w:val="24"/>
        </w:rPr>
        <w:t xml:space="preserve"> do prostoru</w:t>
      </w:r>
      <w:r w:rsidR="002468F2">
        <w:rPr>
          <w:sz w:val="24"/>
        </w:rPr>
        <w:t xml:space="preserve"> chodby</w:t>
      </w:r>
      <w:r>
        <w:rPr>
          <w:sz w:val="24"/>
        </w:rPr>
        <w:t xml:space="preserve"> jsou navržena nouzová svítidla s piktogramy směru úniku. </w:t>
      </w:r>
    </w:p>
    <w:p w:rsidR="00144CEF" w:rsidRDefault="00F61347" w:rsidP="00FF1733">
      <w:pPr>
        <w:pStyle w:val="Normln1"/>
        <w:spacing w:line="276" w:lineRule="auto"/>
        <w:ind w:firstLine="708"/>
        <w:jc w:val="both"/>
        <w:rPr>
          <w:sz w:val="24"/>
        </w:rPr>
      </w:pPr>
      <w:r>
        <w:rPr>
          <w:sz w:val="24"/>
        </w:rPr>
        <w:t>Navržená nouzová svítidla</w:t>
      </w:r>
      <w:r w:rsidR="00144CEF">
        <w:rPr>
          <w:sz w:val="24"/>
        </w:rPr>
        <w:t xml:space="preserve"> jsou vybavena vlastním akumulátorovým zdrojem napájení a zajišťují tak požadavek dosažení nouzového osvětlení na 50% požadované osvětlenosti do 5s a plné požadované osvětlenosti pak do 60s.</w:t>
      </w:r>
      <w:r w:rsidR="001A0A0E">
        <w:rPr>
          <w:sz w:val="24"/>
        </w:rPr>
        <w:t xml:space="preserve"> Svítidla jsou kategorie „SE“ a aktivují se </w:t>
      </w:r>
      <w:r w:rsidR="00650AC0">
        <w:rPr>
          <w:sz w:val="24"/>
        </w:rPr>
        <w:t>(rozsvěcují)</w:t>
      </w:r>
      <w:r w:rsidR="001A0A0E">
        <w:rPr>
          <w:sz w:val="24"/>
        </w:rPr>
        <w:t xml:space="preserve"> pouze v případě ztráty napájecího napětí</w:t>
      </w:r>
      <w:r w:rsidR="00650AC0">
        <w:rPr>
          <w:sz w:val="24"/>
        </w:rPr>
        <w:t xml:space="preserve"> v příslušném obvodu.</w:t>
      </w:r>
      <w:r w:rsidR="00FE09FD">
        <w:rPr>
          <w:sz w:val="24"/>
        </w:rPr>
        <w:t xml:space="preserve"> Napájecí přívody </w:t>
      </w:r>
      <w:r w:rsidR="00FE09FD">
        <w:rPr>
          <w:sz w:val="24"/>
        </w:rPr>
        <w:lastRenderedPageBreak/>
        <w:t>svítidel zajišťující napájení automatického nabíjení akumulačních zdrojů svítidel budou připojeny vždy k trvalému napájení (v krabicové rozvodce) světelného obvodu místnosti, ve kterém budou nouzová svítidla instalována.</w:t>
      </w:r>
    </w:p>
    <w:p w:rsidR="00FE09FD" w:rsidRDefault="00FE09FD" w:rsidP="00FF1733">
      <w:pPr>
        <w:pStyle w:val="Normln1"/>
        <w:spacing w:line="276" w:lineRule="auto"/>
        <w:ind w:firstLine="708"/>
        <w:jc w:val="both"/>
        <w:rPr>
          <w:sz w:val="24"/>
        </w:rPr>
      </w:pPr>
    </w:p>
    <w:p w:rsidR="00FE09FD" w:rsidRDefault="00FE09FD" w:rsidP="00FF1733">
      <w:pPr>
        <w:pStyle w:val="Normln1"/>
        <w:spacing w:line="276" w:lineRule="auto"/>
        <w:ind w:firstLine="708"/>
        <w:jc w:val="both"/>
        <w:rPr>
          <w:sz w:val="24"/>
        </w:rPr>
      </w:pPr>
    </w:p>
    <w:p w:rsidR="00DA697C" w:rsidRPr="00DA697C" w:rsidRDefault="002635A8" w:rsidP="00CB3EDC">
      <w:pPr>
        <w:pStyle w:val="Nadpis8"/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</w:t>
      </w:r>
      <w:r w:rsidR="008C427D">
        <w:rPr>
          <w:rFonts w:ascii="Arial" w:hAnsi="Arial" w:cs="Arial"/>
          <w:sz w:val="28"/>
          <w:szCs w:val="28"/>
        </w:rPr>
        <w:t xml:space="preserve">. </w:t>
      </w:r>
      <w:r w:rsidR="00DA697C" w:rsidRPr="00DA697C">
        <w:rPr>
          <w:rFonts w:ascii="Arial" w:hAnsi="Arial" w:cs="Arial"/>
          <w:sz w:val="28"/>
          <w:szCs w:val="28"/>
        </w:rPr>
        <w:t>Závěr</w:t>
      </w:r>
    </w:p>
    <w:p w:rsidR="00DA697C" w:rsidRDefault="00DA697C" w:rsidP="00CB3EDC">
      <w:pPr>
        <w:spacing w:line="276" w:lineRule="auto"/>
        <w:jc w:val="both"/>
        <w:rPr>
          <w:b/>
          <w:bCs/>
        </w:rPr>
      </w:pPr>
      <w:r w:rsidRPr="00DA697C">
        <w:rPr>
          <w:b/>
          <w:bCs/>
        </w:rPr>
        <w:tab/>
      </w:r>
    </w:p>
    <w:p w:rsidR="00DA697C" w:rsidRPr="00DA697C" w:rsidRDefault="00DA697C" w:rsidP="00CB3EDC">
      <w:pPr>
        <w:spacing w:line="276" w:lineRule="auto"/>
        <w:ind w:firstLine="708"/>
        <w:jc w:val="both"/>
        <w:rPr>
          <w:b/>
          <w:bCs/>
        </w:rPr>
      </w:pPr>
      <w:r w:rsidRPr="00DA697C">
        <w:rPr>
          <w:bCs/>
        </w:rPr>
        <w:t xml:space="preserve">Při realizaci </w:t>
      </w:r>
      <w:r w:rsidR="00F61347">
        <w:rPr>
          <w:bCs/>
        </w:rPr>
        <w:t xml:space="preserve">osvětlovací soustavy </w:t>
      </w:r>
      <w:r w:rsidRPr="00DA697C">
        <w:rPr>
          <w:bCs/>
        </w:rPr>
        <w:t>musí být dodržen</w:t>
      </w:r>
      <w:r w:rsidR="00F61347">
        <w:rPr>
          <w:bCs/>
        </w:rPr>
        <w:t>y typy a provedení navržených svítidel včetně jejich</w:t>
      </w:r>
      <w:r w:rsidRPr="00DA697C">
        <w:rPr>
          <w:bCs/>
        </w:rPr>
        <w:t xml:space="preserve"> světelných zdrojů. Pro zajištění činnosti osvětlovacích soustav musí být prováděna předepsaná údržba</w:t>
      </w:r>
      <w:r w:rsidR="00DA03E7">
        <w:rPr>
          <w:bCs/>
        </w:rPr>
        <w:t xml:space="preserve"> dle návodu výrobce nebo dle místního provozního předpisu, která však nesmí být delší</w:t>
      </w:r>
      <w:r w:rsidR="00F06E17">
        <w:rPr>
          <w:bCs/>
        </w:rPr>
        <w:t xml:space="preserve">, </w:t>
      </w:r>
      <w:r w:rsidR="00DA03E7">
        <w:rPr>
          <w:bCs/>
        </w:rPr>
        <w:t>než doporučuje výrobce</w:t>
      </w:r>
      <w:r w:rsidRPr="00DA697C">
        <w:rPr>
          <w:bCs/>
        </w:rPr>
        <w:t xml:space="preserve">. </w:t>
      </w:r>
      <w:r w:rsidRPr="00DA697C">
        <w:rPr>
          <w:b/>
          <w:bCs/>
        </w:rPr>
        <w:t>Pokud budou</w:t>
      </w:r>
      <w:r>
        <w:rPr>
          <w:b/>
          <w:bCs/>
        </w:rPr>
        <w:t xml:space="preserve"> </w:t>
      </w:r>
      <w:r w:rsidRPr="00DA697C">
        <w:rPr>
          <w:b/>
          <w:bCs/>
        </w:rPr>
        <w:t>použita jiná svítidla</w:t>
      </w:r>
      <w:r w:rsidR="008C427D">
        <w:rPr>
          <w:b/>
          <w:bCs/>
        </w:rPr>
        <w:t>,</w:t>
      </w:r>
      <w:r>
        <w:rPr>
          <w:b/>
          <w:bCs/>
        </w:rPr>
        <w:t xml:space="preserve"> než jsou uvedena v protokolech, </w:t>
      </w:r>
      <w:r w:rsidRPr="00DA697C">
        <w:rPr>
          <w:b/>
          <w:bCs/>
        </w:rPr>
        <w:t>musí být proveden nový světelně technický výpočet</w:t>
      </w:r>
      <w:r w:rsidR="00F61347">
        <w:rPr>
          <w:b/>
          <w:bCs/>
        </w:rPr>
        <w:t xml:space="preserve"> ověřující vhodnost jejich použití</w:t>
      </w:r>
      <w:r w:rsidRPr="00DA697C">
        <w:rPr>
          <w:b/>
          <w:bCs/>
        </w:rPr>
        <w:t>.</w:t>
      </w:r>
    </w:p>
    <w:p w:rsidR="00DA697C" w:rsidRDefault="00DA697C" w:rsidP="00FE4915">
      <w:pPr>
        <w:spacing w:line="276" w:lineRule="auto"/>
        <w:ind w:firstLine="708"/>
        <w:jc w:val="both"/>
      </w:pPr>
      <w:r w:rsidRPr="00DA697C">
        <w:t>V souladu s čl. 6.1 ČSN EN 12464 -1 je nutno před převzetím osvětlovací soustavy do provozu zajistit měření a vyhodnocení osvětlení</w:t>
      </w:r>
      <w:r w:rsidR="00F61347">
        <w:t>.</w:t>
      </w:r>
      <w:r w:rsidRPr="00DA697C">
        <w:t xml:space="preserve"> </w:t>
      </w:r>
      <w:r w:rsidR="00F61347">
        <w:t>M</w:t>
      </w:r>
      <w:r w:rsidRPr="00DA697C">
        <w:t xml:space="preserve">ěření se musí provádět v síti bodů použitých v návrhu. Rozmístění svítidel </w:t>
      </w:r>
      <w:r w:rsidR="00DA03E7">
        <w:t>musí odpovídat</w:t>
      </w:r>
      <w:r w:rsidRPr="00DA697C">
        <w:t xml:space="preserve"> souřadnic</w:t>
      </w:r>
      <w:r w:rsidR="00DA03E7">
        <w:t>ím dl</w:t>
      </w:r>
      <w:bookmarkStart w:id="0" w:name="_GoBack"/>
      <w:bookmarkEnd w:id="0"/>
      <w:r w:rsidR="00DA03E7">
        <w:t>e výpočtových protokolů</w:t>
      </w:r>
      <w:r w:rsidRPr="00DA697C">
        <w:t>.</w:t>
      </w:r>
    </w:p>
    <w:p w:rsidR="00B7296C" w:rsidRPr="00DA697C" w:rsidRDefault="00B7296C" w:rsidP="00FE4915">
      <w:pPr>
        <w:spacing w:line="276" w:lineRule="auto"/>
        <w:ind w:firstLine="708"/>
        <w:jc w:val="both"/>
      </w:pPr>
      <w:r>
        <w:t>Délky kabelů a kabelových tras (drážkování v</w:t>
      </w:r>
      <w:r w:rsidR="00BB21B1">
        <w:t> </w:t>
      </w:r>
      <w:r>
        <w:t>omítce</w:t>
      </w:r>
      <w:r w:rsidR="00BB21B1">
        <w:t xml:space="preserve"> + lišty</w:t>
      </w:r>
      <w:r>
        <w:t>) jsou v rozpočtu uvedeny v orientačních hodnotách.</w:t>
      </w:r>
      <w:r w:rsidR="003071B9">
        <w:t xml:space="preserve"> Délky kabelů uložených v omítce jsou násobeny koeficientem prořezu </w:t>
      </w:r>
      <w:proofErr w:type="gramStart"/>
      <w:r w:rsidR="003071B9">
        <w:t>k=1,2 ; délky</w:t>
      </w:r>
      <w:proofErr w:type="gramEnd"/>
      <w:r w:rsidR="003071B9">
        <w:t xml:space="preserve"> přívodů mezi závěsem svítidla a svorkovnicí svítidla jsou násobeny koeficientem prořezu k=1,1.</w:t>
      </w:r>
    </w:p>
    <w:p w:rsidR="00DA697C" w:rsidRDefault="00DA697C" w:rsidP="00CB3EDC">
      <w:pPr>
        <w:pStyle w:val="Zkladntext"/>
        <w:widowControl/>
        <w:spacing w:line="276" w:lineRule="auto"/>
        <w:ind w:firstLine="708"/>
        <w:rPr>
          <w:szCs w:val="24"/>
        </w:rPr>
      </w:pPr>
    </w:p>
    <w:p w:rsidR="003E0451" w:rsidRDefault="003E0451" w:rsidP="001A3F79">
      <w:pPr>
        <w:pStyle w:val="Zkladntext"/>
        <w:widowControl/>
        <w:spacing w:line="276" w:lineRule="auto"/>
        <w:rPr>
          <w:szCs w:val="24"/>
        </w:rPr>
      </w:pPr>
    </w:p>
    <w:p w:rsidR="00DC4E5F" w:rsidRPr="00DC4E5F" w:rsidRDefault="00DC4E5F" w:rsidP="00DC4E5F">
      <w:pPr>
        <w:autoSpaceDE w:val="0"/>
        <w:autoSpaceDN w:val="0"/>
        <w:adjustRightInd w:val="0"/>
        <w:spacing w:line="276" w:lineRule="auto"/>
        <w:rPr>
          <w:rFonts w:eastAsia="Calibri"/>
          <w:b/>
          <w:bCs/>
        </w:rPr>
      </w:pPr>
      <w:r w:rsidRPr="00DC4E5F">
        <w:rPr>
          <w:rFonts w:eastAsia="Calibri"/>
          <w:b/>
          <w:bCs/>
        </w:rPr>
        <w:t>Související předpisy</w:t>
      </w:r>
    </w:p>
    <w:p w:rsidR="00DC4E5F" w:rsidRPr="0033794F" w:rsidRDefault="00DC4E5F" w:rsidP="00DC4E5F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</w:rPr>
      </w:pPr>
    </w:p>
    <w:p w:rsidR="00DC4E5F" w:rsidRPr="00DC4E5F" w:rsidRDefault="00DC4E5F" w:rsidP="00DC4E5F">
      <w:pPr>
        <w:pStyle w:val="Bezmezer"/>
        <w:spacing w:line="276" w:lineRule="auto"/>
      </w:pPr>
      <w:r w:rsidRPr="00DC4E5F">
        <w:t xml:space="preserve">ČSN 73 0802, </w:t>
      </w:r>
      <w:proofErr w:type="gramStart"/>
      <w:r w:rsidRPr="00DC4E5F">
        <w:t>73 0810  Požární</w:t>
      </w:r>
      <w:proofErr w:type="gramEnd"/>
      <w:r w:rsidRPr="00DC4E5F">
        <w:t xml:space="preserve"> bezpečnost staveb </w:t>
      </w:r>
    </w:p>
    <w:p w:rsidR="00DC4E5F" w:rsidRPr="00DC4E5F" w:rsidRDefault="00DC4E5F" w:rsidP="00DC4E5F">
      <w:pPr>
        <w:pStyle w:val="Bezmezer"/>
        <w:spacing w:line="276" w:lineRule="auto"/>
      </w:pPr>
      <w:r w:rsidRPr="00DC4E5F">
        <w:t>ČSN EN 12 464-1 Světlo a osvětlení - Osvětlení pracovních prostorů - Část 1: Vnitřní pracovní prostory</w:t>
      </w:r>
    </w:p>
    <w:p w:rsidR="00DC4E5F" w:rsidRPr="00DC4E5F" w:rsidRDefault="00DC4E5F" w:rsidP="00DC4E5F">
      <w:pPr>
        <w:pStyle w:val="Bezmezer"/>
        <w:spacing w:line="276" w:lineRule="auto"/>
      </w:pPr>
      <w:r w:rsidRPr="00DC4E5F">
        <w:t>ČSN EN 1838 Světlo a osvětlení – nouzové osvětlení</w:t>
      </w:r>
    </w:p>
    <w:p w:rsidR="00DC4E5F" w:rsidRPr="00DC4E5F" w:rsidRDefault="00DC4E5F" w:rsidP="00DC4E5F">
      <w:pPr>
        <w:pStyle w:val="Bezmezer"/>
        <w:spacing w:line="276" w:lineRule="auto"/>
      </w:pPr>
      <w:r w:rsidRPr="00DC4E5F">
        <w:t xml:space="preserve">Dále </w:t>
      </w:r>
      <w:r w:rsidR="00F61347" w:rsidRPr="00DC4E5F">
        <w:t xml:space="preserve">musí </w:t>
      </w:r>
      <w:r w:rsidRPr="00DC4E5F">
        <w:t>instalace vyhovovat normám požární bezpečnost staveb vyhlášky č.23/2008Sb.</w:t>
      </w:r>
    </w:p>
    <w:p w:rsidR="00DC4E5F" w:rsidRPr="00DC4E5F" w:rsidRDefault="00DC4E5F" w:rsidP="00DC4E5F">
      <w:pPr>
        <w:pStyle w:val="Bezmezer"/>
        <w:spacing w:line="276" w:lineRule="auto"/>
      </w:pPr>
      <w:r w:rsidRPr="00DC4E5F">
        <w:t>Elektrotechnické výrobky a materiály musí být dle platných ČSN, nebo vydaný certifikát pro daný účel.</w:t>
      </w:r>
    </w:p>
    <w:p w:rsidR="00DC4E5F" w:rsidRPr="00DC4E5F" w:rsidRDefault="00DC4E5F" w:rsidP="00DC4E5F">
      <w:pPr>
        <w:pStyle w:val="Bezmezer"/>
        <w:spacing w:line="276" w:lineRule="auto"/>
        <w:rPr>
          <w:b/>
        </w:rPr>
      </w:pPr>
      <w:r w:rsidRPr="00DC4E5F">
        <w:t xml:space="preserve">Stanovené výrobky, které představují zvýšenou míru ohrožení, musí mít vydáno písemné prohlášení o shodě podle zákona 22/97Sb a výrobek označen </w:t>
      </w:r>
      <w:r w:rsidR="00F61347">
        <w:t>symbolem</w:t>
      </w:r>
      <w:r w:rsidRPr="00DC4E5F">
        <w:t xml:space="preserve"> CE. U výrobků dovážených z oblasti mimo EU vydává prohlášení o shodě zplnomocněný zástupce výrobce.</w:t>
      </w:r>
    </w:p>
    <w:p w:rsidR="00DC4E5F" w:rsidRPr="00DC4E5F" w:rsidRDefault="00DC4E5F" w:rsidP="00DC4E5F">
      <w:pPr>
        <w:pStyle w:val="Bezmezer"/>
        <w:spacing w:line="276" w:lineRule="auto"/>
        <w:ind w:left="284" w:hanging="284"/>
        <w:rPr>
          <w:b/>
        </w:rPr>
      </w:pPr>
    </w:p>
    <w:p w:rsidR="00DC4E5F" w:rsidRPr="00DC4E5F" w:rsidRDefault="00DC4E5F" w:rsidP="00DC4E5F">
      <w:pPr>
        <w:pStyle w:val="Bezmezer"/>
        <w:spacing w:line="276" w:lineRule="auto"/>
        <w:ind w:left="284" w:hanging="284"/>
        <w:rPr>
          <w:b/>
          <w:bCs/>
        </w:rPr>
      </w:pPr>
      <w:r w:rsidRPr="00DC4E5F">
        <w:rPr>
          <w:b/>
          <w:bCs/>
        </w:rPr>
        <w:t>Technická specifikace v předpisech</w:t>
      </w:r>
    </w:p>
    <w:p w:rsidR="003E0451" w:rsidRDefault="00DC4E5F" w:rsidP="00DB66EC">
      <w:pPr>
        <w:pStyle w:val="Bezmezer"/>
        <w:spacing w:line="276" w:lineRule="auto"/>
        <w:jc w:val="both"/>
      </w:pPr>
      <w:r w:rsidRPr="00DC4E5F">
        <w:t xml:space="preserve">Zákon č. 22/1997 Sb., o technických požadavcích na výrobky a o změně a doplnění některých zákonů, ve znění zákona č. 71/2000 Sb., zákona č. 102/2001 Sb., zákona č.205/2002 Sb., zákona č. 226/2003 Sb. a zákona č. 277/2003 Sb. Vymezuje použití výrobků dle platných norem ČSN a EN pro danou stavbu. </w:t>
      </w:r>
    </w:p>
    <w:sectPr w:rsidR="003E0451" w:rsidSect="0003698A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18" w:right="1417" w:bottom="2157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C38" w:rsidRDefault="00740C38">
      <w:r>
        <w:separator/>
      </w:r>
    </w:p>
  </w:endnote>
  <w:endnote w:type="continuationSeparator" w:id="0">
    <w:p w:rsidR="00740C38" w:rsidRDefault="00740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enturyGothic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300" w:rsidRDefault="00BA030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A0300" w:rsidRDefault="00BA0300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5482559"/>
      <w:docPartObj>
        <w:docPartGallery w:val="Page Numbers (Bottom of Page)"/>
        <w:docPartUnique/>
      </w:docPartObj>
    </w:sdtPr>
    <w:sdtEndPr/>
    <w:sdtContent>
      <w:p w:rsidR="0003698A" w:rsidRDefault="0003698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1B5A">
          <w:rPr>
            <w:noProof/>
          </w:rPr>
          <w:t>4</w:t>
        </w:r>
        <w:r>
          <w:fldChar w:fldCharType="end"/>
        </w:r>
      </w:p>
    </w:sdtContent>
  </w:sdt>
  <w:p w:rsidR="00BA0300" w:rsidRDefault="00BA0300">
    <w:pPr>
      <w:pStyle w:val="Zpat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3032966"/>
      <w:docPartObj>
        <w:docPartGallery w:val="Page Numbers (Bottom of Page)"/>
        <w:docPartUnique/>
      </w:docPartObj>
    </w:sdtPr>
    <w:sdtEndPr/>
    <w:sdtContent>
      <w:p w:rsidR="0003698A" w:rsidRDefault="0003698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296C">
          <w:rPr>
            <w:noProof/>
          </w:rPr>
          <w:t>1</w:t>
        </w:r>
        <w:r>
          <w:fldChar w:fldCharType="end"/>
        </w:r>
      </w:p>
    </w:sdtContent>
  </w:sdt>
  <w:p w:rsidR="0003698A" w:rsidRDefault="0003698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C38" w:rsidRDefault="00740C38">
      <w:r>
        <w:separator/>
      </w:r>
    </w:p>
  </w:footnote>
  <w:footnote w:type="continuationSeparator" w:id="0">
    <w:p w:rsidR="00740C38" w:rsidRDefault="00740C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300" w:rsidRDefault="00A22E75" w:rsidP="00F90030">
    <w:pPr>
      <w:pStyle w:val="Zhlav"/>
      <w:ind w:firstLine="4248"/>
      <w:jc w:val="both"/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2514600</wp:posOffset>
              </wp:positionH>
              <wp:positionV relativeFrom="paragraph">
                <wp:posOffset>120650</wp:posOffset>
              </wp:positionV>
              <wp:extent cx="685800" cy="0"/>
              <wp:effectExtent l="9525" t="6350" r="9525" b="1270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34B83F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9.5pt" to="252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"/>
          </w:pict>
        </mc:Fallback>
      </mc:AlternateContent>
    </w:r>
    <w:r w:rsidR="0076335B">
      <w:rPr>
        <w:sz w:val="16"/>
      </w:rPr>
      <w:t>3</w:t>
    </w:r>
    <w:r w:rsidR="00F71A30">
      <w:rPr>
        <w:sz w:val="16"/>
      </w:rPr>
      <w:t>4</w:t>
    </w:r>
    <w:r w:rsidR="00B17AC7">
      <w:rPr>
        <w:sz w:val="16"/>
      </w:rPr>
      <w:t>K201</w:t>
    </w:r>
    <w:r w:rsidR="0076335B">
      <w:rPr>
        <w:sz w:val="16"/>
      </w:rPr>
      <w:t>9</w:t>
    </w:r>
    <w:r w:rsidR="00F90030">
      <w:rPr>
        <w:sz w:val="16"/>
      </w:rPr>
      <w:tab/>
      <w:t>STP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300" w:rsidRDefault="00BA0300">
    <w:pPr>
      <w:pStyle w:val="Zhlav"/>
      <w:jc w:val="center"/>
      <w:rPr>
        <w:sz w:val="16"/>
      </w:rPr>
    </w:pPr>
  </w:p>
  <w:p w:rsidR="00BA0300" w:rsidRDefault="00BA0300">
    <w:pPr>
      <w:pStyle w:val="Zhlav"/>
      <w:jc w:val="center"/>
      <w:rPr>
        <w:sz w:val="16"/>
      </w:rPr>
    </w:pPr>
    <w:r>
      <w:rPr>
        <w:sz w:val="16"/>
      </w:rPr>
      <w:softHyphen/>
    </w:r>
    <w:r>
      <w:rPr>
        <w:sz w:val="16"/>
      </w:rPr>
      <w:softHyphen/>
    </w:r>
    <w:r>
      <w:rPr>
        <w:sz w:val="16"/>
      </w:rPr>
      <w:softHyphen/>
    </w:r>
    <w:r>
      <w:rPr>
        <w:sz w:val="16"/>
      </w:rPr>
      <w:softHyphen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06EFC12"/>
    <w:lvl w:ilvl="0">
      <w:numFmt w:val="decimal"/>
      <w:lvlText w:val="*"/>
      <w:lvlJc w:val="left"/>
    </w:lvl>
  </w:abstractNum>
  <w:abstractNum w:abstractNumId="1" w15:restartNumberingAfterBreak="0">
    <w:nsid w:val="093A304F"/>
    <w:multiLevelType w:val="hybridMultilevel"/>
    <w:tmpl w:val="06EAB5A0"/>
    <w:lvl w:ilvl="0" w:tplc="7C4E1DE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19F61D33"/>
    <w:multiLevelType w:val="hybridMultilevel"/>
    <w:tmpl w:val="A4F01942"/>
    <w:lvl w:ilvl="0" w:tplc="B06EFC12">
      <w:start w:val="1"/>
      <w:numFmt w:val="bullet"/>
      <w:lvlText w:val="¨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532CD"/>
    <w:multiLevelType w:val="hybridMultilevel"/>
    <w:tmpl w:val="35707544"/>
    <w:lvl w:ilvl="0" w:tplc="4F54D5D0">
      <w:start w:val="73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C21A32"/>
    <w:multiLevelType w:val="hybridMultilevel"/>
    <w:tmpl w:val="2E64083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67675"/>
    <w:multiLevelType w:val="hybridMultilevel"/>
    <w:tmpl w:val="7B526C7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2B1357"/>
    <w:multiLevelType w:val="hybridMultilevel"/>
    <w:tmpl w:val="46800E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3D4B9F"/>
    <w:multiLevelType w:val="hybridMultilevel"/>
    <w:tmpl w:val="C4B254C0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CD4297"/>
    <w:multiLevelType w:val="hybridMultilevel"/>
    <w:tmpl w:val="46800E5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q"/>
        <w:legacy w:legacy="1" w:legacySpace="0" w:legacyIndent="480"/>
        <w:lvlJc w:val="left"/>
        <w:rPr>
          <w:rFonts w:ascii="Wingdings" w:hAnsi="Wingdings" w:hint="default"/>
          <w:color w:val="000000"/>
        </w:rPr>
      </w:lvl>
    </w:lvlOverride>
  </w:num>
  <w:num w:numId="2">
    <w:abstractNumId w:val="0"/>
    <w:lvlOverride w:ilvl="0">
      <w:lvl w:ilvl="0">
        <w:start w:val="1"/>
        <w:numFmt w:val="bullet"/>
        <w:lvlText w:val="·"/>
        <w:legacy w:legacy="1" w:legacySpace="0" w:legacyIndent="480"/>
        <w:lvlJc w:val="left"/>
        <w:rPr>
          <w:rFonts w:ascii="Symbol" w:hAnsi="Symbol" w:hint="default"/>
          <w:color w:val="000000"/>
        </w:rPr>
      </w:lvl>
    </w:lvlOverride>
  </w:num>
  <w:num w:numId="3">
    <w:abstractNumId w:val="4"/>
  </w:num>
  <w:num w:numId="4">
    <w:abstractNumId w:val="6"/>
  </w:num>
  <w:num w:numId="5">
    <w:abstractNumId w:val="8"/>
  </w:num>
  <w:num w:numId="6">
    <w:abstractNumId w:val="0"/>
    <w:lvlOverride w:ilvl="0">
      <w:lvl w:ilvl="0">
        <w:start w:val="1"/>
        <w:numFmt w:val="bullet"/>
        <w:lvlText w:val="q"/>
        <w:legacy w:legacy="1" w:legacySpace="0" w:legacyIndent="480"/>
        <w:lvlJc w:val="left"/>
        <w:rPr>
          <w:rFonts w:ascii="Wingdings" w:hAnsi="Wingdings" w:hint="default"/>
          <w:color w:val="000000"/>
        </w:rPr>
      </w:lvl>
    </w:lvlOverride>
  </w:num>
  <w:num w:numId="7">
    <w:abstractNumId w:val="0"/>
    <w:lvlOverride w:ilvl="0">
      <w:lvl w:ilvl="0">
        <w:start w:val="1"/>
        <w:numFmt w:val="bullet"/>
        <w:lvlText w:val="¨"/>
        <w:lvlJc w:val="left"/>
        <w:pPr>
          <w:ind w:left="720" w:hanging="360"/>
        </w:pPr>
        <w:rPr>
          <w:rFonts w:ascii="Symbol" w:hAnsi="Symbol" w:hint="default"/>
          <w:color w:val="000000"/>
        </w:rPr>
      </w:lvl>
    </w:lvlOverride>
  </w:num>
  <w:num w:numId="8">
    <w:abstractNumId w:val="1"/>
  </w:num>
  <w:num w:numId="9">
    <w:abstractNumId w:val="7"/>
  </w:num>
  <w:num w:numId="10">
    <w:abstractNumId w:val="2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FFB"/>
    <w:rsid w:val="0003698A"/>
    <w:rsid w:val="000432BF"/>
    <w:rsid w:val="00062D91"/>
    <w:rsid w:val="000A65B9"/>
    <w:rsid w:val="000E147D"/>
    <w:rsid w:val="000F24B7"/>
    <w:rsid w:val="001052E5"/>
    <w:rsid w:val="00125DD7"/>
    <w:rsid w:val="001419BA"/>
    <w:rsid w:val="00144CEF"/>
    <w:rsid w:val="00145FFC"/>
    <w:rsid w:val="001475F3"/>
    <w:rsid w:val="00147A09"/>
    <w:rsid w:val="0015209D"/>
    <w:rsid w:val="00153294"/>
    <w:rsid w:val="00183F32"/>
    <w:rsid w:val="00187E05"/>
    <w:rsid w:val="001A0A0E"/>
    <w:rsid w:val="001A3F35"/>
    <w:rsid w:val="001A3F79"/>
    <w:rsid w:val="001A5017"/>
    <w:rsid w:val="001A788B"/>
    <w:rsid w:val="001B7284"/>
    <w:rsid w:val="001D1B5A"/>
    <w:rsid w:val="001D712C"/>
    <w:rsid w:val="001E1DF1"/>
    <w:rsid w:val="002371BC"/>
    <w:rsid w:val="002468F2"/>
    <w:rsid w:val="002557E4"/>
    <w:rsid w:val="002561D9"/>
    <w:rsid w:val="002635A8"/>
    <w:rsid w:val="00293AED"/>
    <w:rsid w:val="002A3098"/>
    <w:rsid w:val="002A3928"/>
    <w:rsid w:val="002B32FB"/>
    <w:rsid w:val="002C1008"/>
    <w:rsid w:val="002C5973"/>
    <w:rsid w:val="002D7EDB"/>
    <w:rsid w:val="002E5D93"/>
    <w:rsid w:val="002E6185"/>
    <w:rsid w:val="002E6C06"/>
    <w:rsid w:val="003071B9"/>
    <w:rsid w:val="00333806"/>
    <w:rsid w:val="003750A7"/>
    <w:rsid w:val="00391A56"/>
    <w:rsid w:val="00394371"/>
    <w:rsid w:val="003A3549"/>
    <w:rsid w:val="003D2EB2"/>
    <w:rsid w:val="003E0451"/>
    <w:rsid w:val="004659A6"/>
    <w:rsid w:val="00472EAE"/>
    <w:rsid w:val="004B3D37"/>
    <w:rsid w:val="004B6DCA"/>
    <w:rsid w:val="004F21EF"/>
    <w:rsid w:val="004F55A7"/>
    <w:rsid w:val="005157F8"/>
    <w:rsid w:val="00542FFB"/>
    <w:rsid w:val="005A6363"/>
    <w:rsid w:val="005D17D5"/>
    <w:rsid w:val="005F36DD"/>
    <w:rsid w:val="00620F70"/>
    <w:rsid w:val="00625932"/>
    <w:rsid w:val="006411A1"/>
    <w:rsid w:val="00650AC0"/>
    <w:rsid w:val="006648CF"/>
    <w:rsid w:val="00664C04"/>
    <w:rsid w:val="0068494A"/>
    <w:rsid w:val="00693337"/>
    <w:rsid w:val="006C4A24"/>
    <w:rsid w:val="006E5D64"/>
    <w:rsid w:val="0072695A"/>
    <w:rsid w:val="00736C9C"/>
    <w:rsid w:val="00740C38"/>
    <w:rsid w:val="007622A4"/>
    <w:rsid w:val="0076335B"/>
    <w:rsid w:val="00774D7A"/>
    <w:rsid w:val="00780421"/>
    <w:rsid w:val="0078725D"/>
    <w:rsid w:val="0079460F"/>
    <w:rsid w:val="007B5E4F"/>
    <w:rsid w:val="007D5250"/>
    <w:rsid w:val="00804602"/>
    <w:rsid w:val="00822AE0"/>
    <w:rsid w:val="00835AD2"/>
    <w:rsid w:val="008470E2"/>
    <w:rsid w:val="00875ACD"/>
    <w:rsid w:val="008772FC"/>
    <w:rsid w:val="0088573E"/>
    <w:rsid w:val="00887190"/>
    <w:rsid w:val="0089162B"/>
    <w:rsid w:val="008C427D"/>
    <w:rsid w:val="008F5EDC"/>
    <w:rsid w:val="00923170"/>
    <w:rsid w:val="00971ABF"/>
    <w:rsid w:val="009D66C7"/>
    <w:rsid w:val="009E2489"/>
    <w:rsid w:val="00A009EA"/>
    <w:rsid w:val="00A14A7E"/>
    <w:rsid w:val="00A22E75"/>
    <w:rsid w:val="00A60746"/>
    <w:rsid w:val="00A61E78"/>
    <w:rsid w:val="00A950DE"/>
    <w:rsid w:val="00AC5EF3"/>
    <w:rsid w:val="00AF5D99"/>
    <w:rsid w:val="00B12C19"/>
    <w:rsid w:val="00B17AC7"/>
    <w:rsid w:val="00B7296C"/>
    <w:rsid w:val="00B80BAE"/>
    <w:rsid w:val="00B8526C"/>
    <w:rsid w:val="00BA0300"/>
    <w:rsid w:val="00BA13C4"/>
    <w:rsid w:val="00BA3573"/>
    <w:rsid w:val="00BB21B1"/>
    <w:rsid w:val="00C113EE"/>
    <w:rsid w:val="00C4124E"/>
    <w:rsid w:val="00C619D6"/>
    <w:rsid w:val="00C61BBD"/>
    <w:rsid w:val="00C6211D"/>
    <w:rsid w:val="00CB0D9E"/>
    <w:rsid w:val="00CB3EDC"/>
    <w:rsid w:val="00D20649"/>
    <w:rsid w:val="00D328EF"/>
    <w:rsid w:val="00D576A6"/>
    <w:rsid w:val="00D81C2F"/>
    <w:rsid w:val="00D913A4"/>
    <w:rsid w:val="00D973CC"/>
    <w:rsid w:val="00DA03E7"/>
    <w:rsid w:val="00DA37D9"/>
    <w:rsid w:val="00DA697C"/>
    <w:rsid w:val="00DB66EC"/>
    <w:rsid w:val="00DC4E5F"/>
    <w:rsid w:val="00DD5056"/>
    <w:rsid w:val="00E057D0"/>
    <w:rsid w:val="00E56DF6"/>
    <w:rsid w:val="00E5745E"/>
    <w:rsid w:val="00E61B62"/>
    <w:rsid w:val="00E65AFD"/>
    <w:rsid w:val="00E70954"/>
    <w:rsid w:val="00EB7F8B"/>
    <w:rsid w:val="00EF1E70"/>
    <w:rsid w:val="00EF3464"/>
    <w:rsid w:val="00F041AD"/>
    <w:rsid w:val="00F06E17"/>
    <w:rsid w:val="00F32357"/>
    <w:rsid w:val="00F43729"/>
    <w:rsid w:val="00F61347"/>
    <w:rsid w:val="00F71A30"/>
    <w:rsid w:val="00F72375"/>
    <w:rsid w:val="00F86017"/>
    <w:rsid w:val="00F90030"/>
    <w:rsid w:val="00FA3279"/>
    <w:rsid w:val="00FC45C2"/>
    <w:rsid w:val="00FE09FD"/>
    <w:rsid w:val="00FE27AC"/>
    <w:rsid w:val="00FE4915"/>
    <w:rsid w:val="00FF1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F3A500-362C-476F-AC91-FA86B1C13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Cs/>
      <w:sz w:val="56"/>
    </w:rPr>
  </w:style>
  <w:style w:type="paragraph" w:styleId="Nadpis3">
    <w:name w:val="heading 3"/>
    <w:basedOn w:val="Normln"/>
    <w:next w:val="Normln"/>
    <w:qFormat/>
    <w:pPr>
      <w:keepNext/>
      <w:spacing w:line="360" w:lineRule="auto"/>
      <w:ind w:firstLine="708"/>
      <w:jc w:val="both"/>
      <w:outlineLvl w:val="2"/>
    </w:pPr>
    <w:rPr>
      <w:b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E0451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spacing w:line="360" w:lineRule="auto"/>
      <w:jc w:val="both"/>
    </w:pPr>
    <w:rPr>
      <w:szCs w:val="20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">
    <w:name w:val="Body Text Indent"/>
    <w:basedOn w:val="Normln"/>
    <w:semiHidden/>
    <w:pPr>
      <w:spacing w:line="360" w:lineRule="auto"/>
      <w:ind w:firstLine="708"/>
    </w:pPr>
  </w:style>
  <w:style w:type="paragraph" w:styleId="Zkladntextodsazen2">
    <w:name w:val="Body Text Indent 2"/>
    <w:basedOn w:val="Normln"/>
    <w:semiHidden/>
    <w:pPr>
      <w:spacing w:line="360" w:lineRule="auto"/>
      <w:ind w:firstLine="720"/>
      <w:jc w:val="both"/>
    </w:pPr>
  </w:style>
  <w:style w:type="paragraph" w:customStyle="1" w:styleId="Normln1">
    <w:name w:val="Normální1"/>
    <w:basedOn w:val="Normln"/>
    <w:pPr>
      <w:widowControl w:val="0"/>
    </w:pPr>
    <w:rPr>
      <w:sz w:val="20"/>
      <w:szCs w:val="20"/>
    </w:rPr>
  </w:style>
  <w:style w:type="character" w:customStyle="1" w:styleId="ZpatChar">
    <w:name w:val="Zápatí Char"/>
    <w:link w:val="Zpat"/>
    <w:uiPriority w:val="99"/>
    <w:rsid w:val="004F55A7"/>
    <w:rPr>
      <w:sz w:val="24"/>
      <w:szCs w:val="24"/>
    </w:rPr>
  </w:style>
  <w:style w:type="paragraph" w:styleId="Bezmezer">
    <w:name w:val="No Spacing"/>
    <w:uiPriority w:val="1"/>
    <w:qFormat/>
    <w:rsid w:val="00A60746"/>
    <w:rPr>
      <w:sz w:val="24"/>
      <w:szCs w:val="24"/>
    </w:rPr>
  </w:style>
  <w:style w:type="character" w:styleId="Hypertextovodkaz">
    <w:name w:val="Hyperlink"/>
    <w:rsid w:val="00A60746"/>
    <w:rPr>
      <w:color w:val="0000FF"/>
      <w:u w:val="single"/>
    </w:rPr>
  </w:style>
  <w:style w:type="paragraph" w:customStyle="1" w:styleId="Holub-n">
    <w:name w:val="Holub-n"/>
    <w:basedOn w:val="Zkladntext"/>
    <w:rsid w:val="00A60746"/>
    <w:pPr>
      <w:widowControl/>
      <w:spacing w:line="240" w:lineRule="auto"/>
      <w:jc w:val="left"/>
    </w:pPr>
    <w:rPr>
      <w:rFonts w:ascii="Arial" w:hAnsi="Arial"/>
      <w:sz w:val="22"/>
      <w:szCs w:val="24"/>
    </w:rPr>
  </w:style>
  <w:style w:type="paragraph" w:customStyle="1" w:styleId="Nadpis11">
    <w:name w:val="Nadpis 11"/>
    <w:basedOn w:val="Normln"/>
    <w:rsid w:val="003750A7"/>
    <w:pPr>
      <w:spacing w:before="360" w:after="75"/>
      <w:outlineLvl w:val="1"/>
    </w:pPr>
    <w:rPr>
      <w:rFonts w:ascii="Verdana" w:hAnsi="Verdana"/>
      <w:b/>
      <w:bCs/>
      <w:color w:val="D83523"/>
      <w:kern w:val="36"/>
      <w:sz w:val="43"/>
      <w:szCs w:val="43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E045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2C1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2C19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F173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F1733"/>
  </w:style>
  <w:style w:type="character" w:styleId="Znakapoznpodarou">
    <w:name w:val="footnote reference"/>
    <w:basedOn w:val="Standardnpsmoodstavce"/>
    <w:uiPriority w:val="99"/>
    <w:semiHidden/>
    <w:unhideWhenUsed/>
    <w:rsid w:val="00FF17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5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k.proj@seznam.cz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07EDC-E7BB-4A55-BCC7-8AEB7513B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1107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Kubala Petr</Company>
  <LinksUpToDate>false</LinksUpToDate>
  <CharactersWithSpaces>7624</CharactersWithSpaces>
  <SharedDoc>false</SharedDoc>
  <HLinks>
    <vt:vector size="6" baseType="variant">
      <vt:variant>
        <vt:i4>1572987</vt:i4>
      </vt:variant>
      <vt:variant>
        <vt:i4>0</vt:i4>
      </vt:variant>
      <vt:variant>
        <vt:i4>0</vt:i4>
      </vt:variant>
      <vt:variant>
        <vt:i4>5</vt:i4>
      </vt:variant>
      <vt:variant>
        <vt:lpwstr>mailto:pk.proj@seznam.cz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Kubala Petr</dc:creator>
  <cp:keywords/>
  <cp:lastModifiedBy>Admin</cp:lastModifiedBy>
  <cp:revision>11</cp:revision>
  <cp:lastPrinted>2019-05-23T10:47:00Z</cp:lastPrinted>
  <dcterms:created xsi:type="dcterms:W3CDTF">2019-05-24T17:16:00Z</dcterms:created>
  <dcterms:modified xsi:type="dcterms:W3CDTF">2019-05-27T09:15:00Z</dcterms:modified>
</cp:coreProperties>
</file>