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25" w:rsidRPr="008943C2" w:rsidRDefault="001B6C25" w:rsidP="001B6C25">
      <w:pPr>
        <w:spacing w:after="0"/>
        <w:jc w:val="left"/>
        <w:rPr>
          <w:rFonts w:ascii="Times New Roman" w:hAnsi="Times New Roman" w:cs="Times New Roman"/>
          <w:bCs/>
          <w:sz w:val="24"/>
        </w:rPr>
      </w:pPr>
      <w:r w:rsidRPr="008943C2">
        <w:rPr>
          <w:rFonts w:ascii="Times New Roman" w:hAnsi="Times New Roman" w:cs="Times New Roman"/>
          <w:bCs/>
          <w:sz w:val="24"/>
        </w:rPr>
        <w:t>Příloha č. 2a) Technická specifikace</w:t>
      </w:r>
    </w:p>
    <w:p w:rsidR="001B6C25" w:rsidRPr="008943C2" w:rsidRDefault="001B6C25" w:rsidP="003330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258B" w:rsidRPr="003330EE" w:rsidRDefault="00F1258B" w:rsidP="00333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EE">
        <w:rPr>
          <w:rFonts w:ascii="Times New Roman" w:hAnsi="Times New Roman" w:cs="Times New Roman"/>
          <w:b/>
          <w:sz w:val="32"/>
          <w:szCs w:val="32"/>
        </w:rPr>
        <w:t>Technická specifikace předmětu plnění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F1258B" w:rsidRPr="003330EE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Název veřejné zakázky</w:t>
            </w:r>
          </w:p>
        </w:tc>
        <w:tc>
          <w:tcPr>
            <w:tcW w:w="3633" w:type="pct"/>
          </w:tcPr>
          <w:p w:rsidR="00F1258B" w:rsidRPr="003330EE" w:rsidRDefault="009765CA" w:rsidP="00F522CA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InoMed</w:t>
            </w:r>
            <w:proofErr w:type="spellEnd"/>
            <w:r w:rsidR="001A1E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C3681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1A1E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52CC0">
              <w:rPr>
                <w:rFonts w:ascii="Times New Roman" w:hAnsi="Times New Roman" w:cs="Times New Roman"/>
                <w:b/>
                <w:sz w:val="22"/>
                <w:szCs w:val="22"/>
              </w:rPr>
              <w:t>Trinokulární</w:t>
            </w:r>
            <w:proofErr w:type="spellEnd"/>
            <w:r w:rsidR="00D52C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</w:t>
            </w:r>
            <w:r w:rsidR="0011605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D52C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verzní </w:t>
            </w:r>
            <w:r w:rsidR="00116051">
              <w:rPr>
                <w:rFonts w:ascii="Times New Roman" w:hAnsi="Times New Roman" w:cs="Times New Roman"/>
                <w:b/>
                <w:sz w:val="22"/>
                <w:szCs w:val="22"/>
              </w:rPr>
              <w:t>mikroskop</w:t>
            </w:r>
          </w:p>
        </w:tc>
      </w:tr>
      <w:tr w:rsidR="00F1258B" w:rsidRPr="003330EE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3633" w:type="pct"/>
          </w:tcPr>
          <w:p w:rsidR="003330EE" w:rsidRPr="003330EE" w:rsidRDefault="003330EE" w:rsidP="003330EE">
            <w:pPr>
              <w:spacing w:before="4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Univerzita Karlova, Ovocný trh 560/5, 116 36 Praha 1</w:t>
            </w:r>
          </w:p>
          <w:p w:rsidR="003330EE" w:rsidRPr="003330EE" w:rsidRDefault="003330EE" w:rsidP="003330EE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Jednající součást: Farmaceutická fakulta v Hradci Králové, Akademika Heyrovského 1203/8,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 05 Hradec Králové</w:t>
            </w:r>
          </w:p>
          <w:p w:rsidR="00F1258B" w:rsidRPr="003330EE" w:rsidRDefault="003330EE" w:rsidP="003330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IČ: 00216208, DIČ: CZ00216208</w:t>
            </w:r>
          </w:p>
        </w:tc>
      </w:tr>
      <w:tr w:rsidR="00F1258B" w:rsidRPr="003330EE" w:rsidTr="009C03BA">
        <w:tc>
          <w:tcPr>
            <w:tcW w:w="1367" w:type="pct"/>
            <w:shd w:val="clear" w:color="auto" w:fill="D9D9D9" w:themeFill="background1" w:themeFillShade="D9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Druh řízení</w:t>
            </w:r>
          </w:p>
        </w:tc>
        <w:tc>
          <w:tcPr>
            <w:tcW w:w="3633" w:type="pct"/>
          </w:tcPr>
          <w:p w:rsidR="00F1258B" w:rsidRPr="003330EE" w:rsidRDefault="00ED76DE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1258B" w:rsidRPr="003330EE">
              <w:rPr>
                <w:rFonts w:ascii="Times New Roman" w:hAnsi="Times New Roman" w:cs="Times New Roman"/>
                <w:sz w:val="22"/>
                <w:szCs w:val="22"/>
              </w:rPr>
              <w:t>tevřené řízení veřejné zakázky na dodávky v nadlimitním režimu</w:t>
            </w:r>
            <w:r w:rsidR="00513A6E">
              <w:rPr>
                <w:rFonts w:ascii="Times New Roman" w:hAnsi="Times New Roman" w:cs="Times New Roman"/>
                <w:sz w:val="22"/>
                <w:szCs w:val="22"/>
              </w:rPr>
              <w:t xml:space="preserve"> dle z</w:t>
            </w:r>
            <w:r w:rsidR="005B27A5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="00513A6E">
              <w:rPr>
                <w:rFonts w:ascii="Times New Roman" w:hAnsi="Times New Roman" w:cs="Times New Roman"/>
                <w:sz w:val="22"/>
                <w:szCs w:val="22"/>
              </w:rPr>
              <w:t>kona č. 134/2016 Sb.</w:t>
            </w:r>
          </w:p>
        </w:tc>
      </w:tr>
    </w:tbl>
    <w:p w:rsidR="00F1258B" w:rsidRPr="003330EE" w:rsidRDefault="00F1258B" w:rsidP="00ED76DE">
      <w:pPr>
        <w:pStyle w:val="Popisobrzku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7667"/>
      </w:tblGrid>
      <w:tr w:rsidR="00716CDF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716CDF" w:rsidRPr="00251325" w:rsidRDefault="00716CDF" w:rsidP="000D6BB4">
            <w:pPr>
              <w:spacing w:after="0"/>
              <w:jc w:val="left"/>
              <w:rPr>
                <w:rFonts w:asciiTheme="minorHAnsi" w:hAnsiTheme="minorHAnsi" w:cs="Times New Roman"/>
                <w:b/>
                <w:szCs w:val="22"/>
              </w:rPr>
            </w:pPr>
            <w:r w:rsidRPr="00251325">
              <w:rPr>
                <w:rFonts w:asciiTheme="minorHAnsi" w:hAnsiTheme="minorHAnsi" w:cs="Times New Roman"/>
                <w:b/>
                <w:szCs w:val="22"/>
              </w:rPr>
              <w:t>Název přístrojového vybavení</w:t>
            </w:r>
          </w:p>
        </w:tc>
      </w:tr>
      <w:tr w:rsidR="00716CDF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0FD9" w:rsidRPr="006347BD" w:rsidRDefault="00100FD9" w:rsidP="000D6BB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47BD">
              <w:rPr>
                <w:rFonts w:ascii="Times New Roman" w:hAnsi="Times New Roman" w:cs="Times New Roman"/>
                <w:color w:val="202124"/>
                <w:szCs w:val="22"/>
              </w:rPr>
              <w:t>Trinokulární</w:t>
            </w:r>
            <w:proofErr w:type="spellEnd"/>
            <w:r w:rsidRPr="006347BD">
              <w:rPr>
                <w:rFonts w:ascii="Times New Roman" w:hAnsi="Times New Roman" w:cs="Times New Roman"/>
                <w:color w:val="202124"/>
                <w:szCs w:val="22"/>
              </w:rPr>
              <w:t xml:space="preserve"> inverzní mikroskop</w:t>
            </w:r>
            <w:r w:rsidR="00251325" w:rsidRPr="006347BD">
              <w:rPr>
                <w:rFonts w:ascii="Times New Roman" w:hAnsi="Times New Roman" w:cs="Times New Roman"/>
                <w:color w:val="202124"/>
                <w:szCs w:val="22"/>
              </w:rPr>
              <w:t xml:space="preserve"> umožňující </w:t>
            </w:r>
            <w:r w:rsidR="00251325" w:rsidRPr="006347BD">
              <w:rPr>
                <w:rFonts w:ascii="Times New Roman" w:hAnsi="Times New Roman" w:cs="Times New Roman"/>
                <w:szCs w:val="22"/>
              </w:rPr>
              <w:t xml:space="preserve">pozorování v procházejícím světle ve světlém poli a metodou fázového kontrastu. </w:t>
            </w:r>
          </w:p>
        </w:tc>
      </w:tr>
      <w:tr w:rsidR="00502074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02074" w:rsidRPr="003330EE" w:rsidRDefault="00502074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Požadavek na záruku a servis</w:t>
            </w:r>
          </w:p>
        </w:tc>
      </w:tr>
      <w:tr w:rsidR="00502074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6347BD" w:rsidRPr="005D17B4" w:rsidRDefault="006347BD" w:rsidP="006347B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7B4">
              <w:rPr>
                <w:rFonts w:ascii="Times New Roman" w:hAnsi="Times New Roman" w:cs="Times New Roman"/>
                <w:i/>
                <w:color w:val="000000" w:themeColor="text1"/>
              </w:rPr>
              <w:t>Zadavatel požaduje záruku za jakost předmětu koupě v trvání 24 měsíců, případně delší záruku, stanoví-li tak právní předpisy nebo výrobce.</w:t>
            </w:r>
          </w:p>
          <w:p w:rsidR="006347BD" w:rsidRPr="00B23329" w:rsidRDefault="006347BD" w:rsidP="006347BD">
            <w:pPr>
              <w:spacing w:after="0"/>
              <w:rPr>
                <w:rFonts w:ascii="Times New Roman" w:hAnsi="Times New Roman" w:cs="Times New Roman"/>
                <w:iCs/>
                <w:szCs w:val="22"/>
              </w:rPr>
            </w:pPr>
            <w:r w:rsidRPr="005D17B4">
              <w:rPr>
                <w:rFonts w:ascii="Times New Roman" w:hAnsi="Times New Roman" w:cs="Times New Roman"/>
                <w:i/>
                <w:color w:val="000000" w:themeColor="text1"/>
              </w:rPr>
              <w:t>Podmínky záručního a pozáručního servisu jsou uvedeny v návrhu kupní smlouvy, který je nedílnou součástí zadávací dokumentace.</w:t>
            </w:r>
          </w:p>
        </w:tc>
      </w:tr>
      <w:tr w:rsidR="006F4EBA" w:rsidRPr="003330EE" w:rsidTr="000D6BB4">
        <w:trPr>
          <w:trHeight w:val="288"/>
        </w:trPr>
        <w:tc>
          <w:tcPr>
            <w:tcW w:w="90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6F4EBA" w:rsidRPr="003330EE" w:rsidRDefault="006F4EBA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7F22A0">
              <w:rPr>
                <w:rFonts w:ascii="Times New Roman" w:hAnsi="Times New Roman" w:cs="Times New Roman"/>
                <w:b/>
                <w:szCs w:val="22"/>
              </w:rPr>
              <w:t xml:space="preserve">Základní </w:t>
            </w:r>
            <w:r w:rsidR="00672637">
              <w:rPr>
                <w:rFonts w:ascii="Times New Roman" w:hAnsi="Times New Roman" w:cs="Times New Roman"/>
                <w:b/>
                <w:szCs w:val="22"/>
              </w:rPr>
              <w:t>vlastnosti</w:t>
            </w:r>
          </w:p>
        </w:tc>
      </w:tr>
      <w:tr w:rsidR="007F22A0" w:rsidRPr="003330EE" w:rsidTr="006347BD">
        <w:trPr>
          <w:trHeight w:val="288"/>
        </w:trPr>
        <w:tc>
          <w:tcPr>
            <w:tcW w:w="13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7F22A0" w:rsidRPr="003330EE" w:rsidRDefault="007F22A0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3330EE">
              <w:rPr>
                <w:rFonts w:ascii="Times New Roman" w:hAnsi="Times New Roman" w:cs="Times New Roman"/>
                <w:b/>
                <w:szCs w:val="22"/>
              </w:rPr>
              <w:t>Požadavek na funkcionalitu</w:t>
            </w:r>
          </w:p>
        </w:tc>
        <w:tc>
          <w:tcPr>
            <w:tcW w:w="76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F22A0" w:rsidRPr="003330EE" w:rsidRDefault="007F22A0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3330EE">
              <w:rPr>
                <w:rFonts w:ascii="Times New Roman" w:hAnsi="Times New Roman" w:cs="Times New Roman"/>
                <w:b/>
                <w:szCs w:val="22"/>
              </w:rPr>
              <w:t>Minimální požadavky</w:t>
            </w:r>
          </w:p>
        </w:tc>
      </w:tr>
      <w:tr w:rsidR="00F1258B" w:rsidRPr="003330EE" w:rsidTr="006347BD">
        <w:trPr>
          <w:trHeight w:val="288"/>
        </w:trPr>
        <w:tc>
          <w:tcPr>
            <w:tcW w:w="13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1258B" w:rsidRPr="003330EE" w:rsidRDefault="00D52CC0" w:rsidP="00405E8D">
            <w:pPr>
              <w:spacing w:after="0"/>
              <w:jc w:val="lef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Trinokulární</w:t>
            </w:r>
            <w:proofErr w:type="spellEnd"/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inverzní mikroskop</w:t>
            </w:r>
            <w:r w:rsidR="00D01C17">
              <w:rPr>
                <w:rFonts w:ascii="Roboto" w:hAnsi="Roboto" w:cs="Arial"/>
                <w:i/>
                <w:iCs/>
                <w:color w:val="202124"/>
              </w:rPr>
              <w:t xml:space="preserve"> </w:t>
            </w:r>
          </w:p>
        </w:tc>
        <w:tc>
          <w:tcPr>
            <w:tcW w:w="76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47BD" w:rsidRPr="006347BD" w:rsidRDefault="006347BD" w:rsidP="00D3727C">
            <w:pPr>
              <w:spacing w:after="0"/>
              <w:jc w:val="left"/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</w:pPr>
            <w:proofErr w:type="spellStart"/>
            <w:r w:rsidRPr="006347BD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Trinokulární</w:t>
            </w:r>
            <w:proofErr w:type="spellEnd"/>
            <w:r w:rsidRPr="006347BD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 xml:space="preserve"> inverzní mikroskop</w:t>
            </w:r>
            <w: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:</w:t>
            </w:r>
          </w:p>
          <w:p w:rsidR="00116051" w:rsidRPr="006347BD" w:rsidRDefault="004E66ED" w:rsidP="00D3727C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M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aximální hmotnost 15 kg</w:t>
            </w:r>
          </w:p>
          <w:p w:rsidR="00251325" w:rsidRPr="006347BD" w:rsidRDefault="0025132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Pevný stolek </w:t>
            </w:r>
            <w:r w:rsidR="001E68E4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o rozměrech min. 200x220mm 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umožňující umisťovat nádoby přímo na plochu stolku bez nutnosti použití vodiče</w:t>
            </w:r>
          </w:p>
          <w:p w:rsidR="00116051" w:rsidRPr="006347BD" w:rsidRDefault="00116051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Binokulární tubus s nastavitelnou mezioční vzdáleností</w:t>
            </w:r>
          </w:p>
          <w:p w:rsidR="00251325" w:rsidRPr="006347BD" w:rsidRDefault="004E66ED" w:rsidP="00D3727C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Okulár 10x</w:t>
            </w:r>
          </w:p>
          <w:p w:rsidR="001E68E4" w:rsidRPr="006347BD" w:rsidRDefault="001E68E4" w:rsidP="001E68E4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Možnost doostř</w:t>
            </w:r>
            <w:r w:rsidR="00A0679D" w:rsidRPr="006347BD">
              <w:rPr>
                <w:rFonts w:ascii="Times New Roman" w:hAnsi="Times New Roman" w:cs="Times New Roman"/>
                <w:i/>
                <w:color w:val="000000" w:themeColor="text1"/>
              </w:rPr>
              <w:t>it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rozdíl až ± 5 dioptrií</w:t>
            </w:r>
          </w:p>
          <w:p w:rsidR="00116051" w:rsidRPr="006347BD" w:rsidRDefault="00116051" w:rsidP="00D3727C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H</w:t>
            </w:r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alogenová žárovka nebo 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LED osvětlení</w:t>
            </w:r>
          </w:p>
          <w:p w:rsidR="00116051" w:rsidRPr="006347BD" w:rsidRDefault="00116051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Plynulá regulace osvětlení</w:t>
            </w:r>
          </w:p>
          <w:p w:rsidR="004E66ED" w:rsidRPr="006347BD" w:rsidRDefault="00116051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100FD9" w:rsidRPr="008943C2">
              <w:rPr>
                <w:rFonts w:ascii="Times New Roman" w:hAnsi="Times New Roman" w:cs="Times New Roman"/>
                <w:i/>
                <w:color w:val="000000" w:themeColor="text1"/>
              </w:rPr>
              <w:t>Revolverová hlavice</w:t>
            </w:r>
            <w:r w:rsidR="00251325" w:rsidRPr="006347B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="00E707A2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4</w:t>
            </w:r>
            <w:r w:rsidR="00251325" w:rsidRPr="006347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100FD9" w:rsidRPr="006347BD">
              <w:rPr>
                <w:rFonts w:ascii="Times New Roman" w:hAnsi="Times New Roman" w:cs="Times New Roman"/>
                <w:i/>
                <w:color w:val="000000" w:themeColor="text1"/>
              </w:rPr>
              <w:t>objektivy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>planachromatické</w:t>
            </w:r>
            <w:proofErr w:type="spellEnd"/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fázové 10</w:t>
            </w:r>
            <w:r w:rsidR="00EE00F7" w:rsidRPr="006347BD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  <w:r w:rsidR="00513A6E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a </w:t>
            </w:r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EE00F7" w:rsidRPr="006347BD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  <w:r w:rsidR="006347B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:rsidR="00E707A2" w:rsidRPr="006347BD" w:rsidRDefault="006347BD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>lanachromatické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E66ED" w:rsidRPr="006347B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EE00F7" w:rsidRPr="006347BD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  <w:r w:rsidR="00513A6E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a </w:t>
            </w:r>
            <w:r w:rsidR="00E707A2" w:rsidRPr="006347BD"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  <w:r w:rsidR="00EE00F7" w:rsidRPr="006347BD">
              <w:rPr>
                <w:rFonts w:ascii="Times New Roman" w:hAnsi="Times New Roman" w:cs="Times New Roman"/>
                <w:i/>
                <w:color w:val="000000" w:themeColor="text1"/>
              </w:rPr>
              <w:t>x</w:t>
            </w:r>
          </w:p>
          <w:p w:rsidR="00116051" w:rsidRPr="006347BD" w:rsidRDefault="006347BD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D52CC0" w:rsidRPr="006347BD">
              <w:rPr>
                <w:rFonts w:ascii="Times New Roman" w:hAnsi="Times New Roman" w:cs="Times New Roman"/>
                <w:color w:val="000000" w:themeColor="text1"/>
              </w:rPr>
              <w:t>Trinokulární</w:t>
            </w:r>
            <w:proofErr w:type="spellEnd"/>
            <w:r w:rsidR="00D52CC0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hlavice umožňuj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ící</w:t>
            </w:r>
            <w:r w:rsidR="00D52CC0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připojení digitální kamery</w:t>
            </w:r>
          </w:p>
          <w:p w:rsidR="00116051" w:rsidRPr="006347BD" w:rsidRDefault="00116051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Barevná kamera</w:t>
            </w:r>
            <w:r w:rsidR="00BC6535" w:rsidRPr="006347B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:</w:t>
            </w:r>
          </w:p>
          <w:p w:rsidR="00116051" w:rsidRPr="006347BD" w:rsidRDefault="00BC653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Rozlišení:</w:t>
            </w:r>
            <w:r w:rsidR="008C5796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5 </w:t>
            </w:r>
            <w:proofErr w:type="spellStart"/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Mpix</w:t>
            </w:r>
            <w:proofErr w:type="spellEnd"/>
          </w:p>
          <w:p w:rsidR="00116051" w:rsidRPr="006347BD" w:rsidRDefault="00BC653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Velikost pixelu:</w:t>
            </w:r>
            <w:r w:rsidR="008C5796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max. 2,</w:t>
            </w:r>
            <w:r w:rsidR="00D30A5C" w:rsidRPr="006347B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x 2,</w:t>
            </w:r>
            <w:r w:rsidR="00D30A5C" w:rsidRPr="006347B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µm</w:t>
            </w:r>
          </w:p>
          <w:p w:rsidR="00116051" w:rsidRPr="006347BD" w:rsidRDefault="00BC653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Typ senzoru:</w:t>
            </w:r>
            <w:r w:rsidR="008C5796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CMOS</w:t>
            </w:r>
          </w:p>
          <w:p w:rsidR="00116051" w:rsidRPr="006347BD" w:rsidRDefault="00BC653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V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elikost senzoru: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min. 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1/2,5″</w:t>
            </w:r>
          </w:p>
          <w:p w:rsidR="00116051" w:rsidRPr="006347BD" w:rsidRDefault="00BC6535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M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in. rozsah </w:t>
            </w:r>
            <w:proofErr w:type="spellStart"/>
            <w:r w:rsidR="009D0BE0" w:rsidRPr="006347BD">
              <w:rPr>
                <w:rFonts w:ascii="Times New Roman" w:hAnsi="Times New Roman" w:cs="Times New Roman"/>
                <w:i/>
                <w:color w:val="000000" w:themeColor="text1"/>
              </w:rPr>
              <w:t>e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xp</w:t>
            </w:r>
            <w:proofErr w:type="spellEnd"/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9D0BE0" w:rsidRPr="006347BD">
              <w:rPr>
                <w:rFonts w:ascii="Times New Roman" w:hAnsi="Times New Roman" w:cs="Times New Roman"/>
                <w:i/>
                <w:color w:val="000000" w:themeColor="text1"/>
              </w:rPr>
              <w:t>č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asu: 0,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116051" w:rsidRPr="006347BD">
              <w:rPr>
                <w:rFonts w:ascii="Times New Roman" w:hAnsi="Times New Roman" w:cs="Times New Roman"/>
                <w:i/>
                <w:color w:val="000000" w:themeColor="text1"/>
              </w:rPr>
              <w:t>ms</w:t>
            </w:r>
            <w:proofErr w:type="spellEnd"/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5 s </w:t>
            </w:r>
          </w:p>
          <w:p w:rsidR="00116051" w:rsidRPr="006347BD" w:rsidRDefault="00116051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6347BD">
              <w:rPr>
                <w:rFonts w:ascii="Times New Roman" w:hAnsi="Times New Roman" w:cs="Times New Roman"/>
                <w:i/>
                <w:color w:val="000000" w:themeColor="text1"/>
              </w:rPr>
              <w:t>M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ožnost </w:t>
            </w:r>
            <w:r w:rsidR="00100FD9" w:rsidRPr="006347BD">
              <w:rPr>
                <w:rFonts w:ascii="Times New Roman" w:hAnsi="Times New Roman" w:cs="Times New Roman"/>
                <w:i/>
                <w:color w:val="000000" w:themeColor="text1"/>
              </w:rPr>
              <w:t>propojení kamery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přímo do </w:t>
            </w:r>
            <w:r w:rsidR="00D52CC0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tabletu </w:t>
            </w:r>
            <w:r w:rsidR="00100FD9" w:rsidRPr="006347BD">
              <w:rPr>
                <w:rFonts w:ascii="Times New Roman" w:hAnsi="Times New Roman" w:cs="Times New Roman"/>
                <w:i/>
                <w:color w:val="000000" w:themeColor="text1"/>
              </w:rPr>
              <w:t>pomocí USB portu</w:t>
            </w:r>
            <w:r w:rsidR="008C5796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bez nutnosti připojení PC</w:t>
            </w:r>
          </w:p>
          <w:p w:rsidR="00A0679D" w:rsidRPr="006347BD" w:rsidRDefault="006347BD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bookmarkStart w:id="0" w:name="_Hlk32826570"/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Další s</w:t>
            </w:r>
            <w:r w:rsidR="00A0679D" w:rsidRPr="006347B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oučást </w:t>
            </w:r>
            <w:proofErr w:type="gramStart"/>
            <w:r w:rsidR="00A0679D" w:rsidRPr="006347B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dodávky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- tablet</w:t>
            </w:r>
            <w:proofErr w:type="gramEnd"/>
            <w:r w:rsidR="00A0679D" w:rsidRPr="006347B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:</w:t>
            </w:r>
          </w:p>
          <w:p w:rsidR="008C5796" w:rsidRPr="006347BD" w:rsidRDefault="008C5796" w:rsidP="006347BD">
            <w:pPr>
              <w:spacing w:after="0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tablet 10″ připevněný k mikroskopu s možností </w:t>
            </w:r>
            <w:r w:rsidR="00251325" w:rsidRPr="006347BD">
              <w:rPr>
                <w:rFonts w:ascii="Times New Roman" w:hAnsi="Times New Roman" w:cs="Times New Roman"/>
                <w:i/>
                <w:color w:val="000000" w:themeColor="text1"/>
              </w:rPr>
              <w:t>odepnutí</w:t>
            </w:r>
          </w:p>
          <w:p w:rsidR="00116051" w:rsidRPr="00D3727C" w:rsidRDefault="00D52CC0" w:rsidP="006347BD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>- software</w:t>
            </w:r>
            <w:r w:rsidR="008C5796"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v tabletu</w:t>
            </w:r>
            <w:r w:rsidRPr="006347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pro vytváření fotografií, řazení do alb, možnost vkládání měřítek a popisů</w:t>
            </w:r>
            <w:bookmarkEnd w:id="0"/>
          </w:p>
        </w:tc>
      </w:tr>
    </w:tbl>
    <w:p w:rsidR="008943C2" w:rsidRDefault="008943C2" w:rsidP="006347BD">
      <w:pPr>
        <w:spacing w:after="0"/>
        <w:rPr>
          <w:rFonts w:ascii="Times New Roman" w:hAnsi="Times New Roman" w:cs="Times New Roman"/>
          <w:color w:val="000000" w:themeColor="text1"/>
          <w:szCs w:val="22"/>
          <w:lang w:eastAsia="fr-FR"/>
        </w:rPr>
      </w:pPr>
    </w:p>
    <w:p w:rsidR="006347BD" w:rsidRPr="003330EE" w:rsidRDefault="006347BD" w:rsidP="006347BD">
      <w:pPr>
        <w:spacing w:after="0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BE314C">
        <w:rPr>
          <w:rFonts w:ascii="Times New Roman" w:hAnsi="Times New Roman" w:cs="Times New Roman"/>
          <w:color w:val="000000" w:themeColor="text1"/>
          <w:szCs w:val="22"/>
          <w:lang w:eastAsia="fr-FR"/>
        </w:rPr>
        <w:t>V nabídkové ceně účastník zahrne dopravu k odběrateli</w:t>
      </w:r>
      <w:r w:rsidRPr="00CA506C">
        <w:rPr>
          <w:rFonts w:ascii="Times New Roman" w:hAnsi="Times New Roman" w:cs="Times New Roman"/>
          <w:color w:val="000000" w:themeColor="text1"/>
          <w:szCs w:val="22"/>
          <w:lang w:eastAsia="fr-FR"/>
        </w:rPr>
        <w:t xml:space="preserve">, </w:t>
      </w:r>
      <w:r w:rsidRPr="00E61088">
        <w:rPr>
          <w:rFonts w:ascii="Times New Roman" w:hAnsi="Times New Roman" w:cs="Times New Roman"/>
          <w:color w:val="000000" w:themeColor="text1"/>
          <w:szCs w:val="22"/>
          <w:lang w:eastAsia="fr-FR"/>
        </w:rPr>
        <w:t>demonstrac</w:t>
      </w:r>
      <w:r>
        <w:rPr>
          <w:rFonts w:ascii="Times New Roman" w:hAnsi="Times New Roman" w:cs="Times New Roman"/>
          <w:color w:val="000000" w:themeColor="text1"/>
          <w:szCs w:val="22"/>
          <w:lang w:eastAsia="fr-FR"/>
        </w:rPr>
        <w:t>i /ukázku/</w:t>
      </w:r>
      <w:r w:rsidRPr="00E61088">
        <w:rPr>
          <w:rFonts w:ascii="Times New Roman" w:hAnsi="Times New Roman" w:cs="Times New Roman"/>
          <w:color w:val="000000" w:themeColor="text1"/>
          <w:szCs w:val="22"/>
          <w:lang w:eastAsia="fr-FR"/>
        </w:rPr>
        <w:t xml:space="preserve"> provozu</w:t>
      </w:r>
      <w:r>
        <w:rPr>
          <w:rFonts w:ascii="Times New Roman" w:hAnsi="Times New Roman" w:cs="Times New Roman"/>
          <w:color w:val="000000" w:themeColor="text1"/>
          <w:szCs w:val="22"/>
          <w:lang w:eastAsia="fr-FR"/>
        </w:rPr>
        <w:t xml:space="preserve"> přístroje</w:t>
      </w:r>
      <w:r w:rsidRPr="00E61088">
        <w:rPr>
          <w:rFonts w:ascii="Times New Roman" w:hAnsi="Times New Roman" w:cs="Times New Roman"/>
          <w:color w:val="000000" w:themeColor="text1"/>
          <w:szCs w:val="22"/>
          <w:lang w:eastAsia="fr-FR"/>
        </w:rPr>
        <w:t>,</w:t>
      </w:r>
      <w:r w:rsidRPr="00BE314C">
        <w:rPr>
          <w:rFonts w:ascii="Times New Roman" w:hAnsi="Times New Roman" w:cs="Times New Roman"/>
          <w:color w:val="000000" w:themeColor="text1"/>
          <w:szCs w:val="22"/>
          <w:lang w:eastAsia="fr-FR"/>
        </w:rPr>
        <w:t xml:space="preserve"> zaškolení obsluhy </w:t>
      </w:r>
      <w:r>
        <w:rPr>
          <w:rFonts w:ascii="Times New Roman" w:hAnsi="Times New Roman" w:cs="Times New Roman"/>
          <w:color w:val="000000" w:themeColor="text1"/>
          <w:szCs w:val="22"/>
        </w:rPr>
        <w:t>v rozsahu min. 2 hodiny</w:t>
      </w:r>
      <w:r w:rsidRPr="00BE314C">
        <w:rPr>
          <w:rFonts w:ascii="Times New Roman" w:hAnsi="Times New Roman" w:cs="Times New Roman"/>
          <w:color w:val="000000" w:themeColor="text1"/>
          <w:szCs w:val="22"/>
          <w:lang w:eastAsia="fr-FR"/>
        </w:rPr>
        <w:t xml:space="preserve"> a dokumentaci - </w:t>
      </w:r>
      <w:r w:rsidRPr="00BE314C">
        <w:rPr>
          <w:rFonts w:ascii="Times New Roman" w:hAnsi="Times New Roman" w:cs="Times New Roman"/>
          <w:i/>
          <w:iCs/>
          <w:color w:val="000000" w:themeColor="text1"/>
        </w:rPr>
        <w:t>– viz návrh kupní smlouvy, jako nedílné součásti zadávací dokumentace.</w:t>
      </w:r>
    </w:p>
    <w:p w:rsidR="006347BD" w:rsidRPr="003330EE" w:rsidRDefault="006347BD" w:rsidP="005B27A5">
      <w:pPr>
        <w:spacing w:after="0"/>
        <w:rPr>
          <w:rFonts w:ascii="Times New Roman" w:hAnsi="Times New Roman" w:cs="Times New Roman"/>
          <w:szCs w:val="22"/>
        </w:rPr>
      </w:pPr>
    </w:p>
    <w:sectPr w:rsidR="006347BD" w:rsidRPr="003330EE" w:rsidSect="008943C2">
      <w:headerReference w:type="default" r:id="rId8"/>
      <w:pgSz w:w="11906" w:h="16838"/>
      <w:pgMar w:top="170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0C" w:rsidRDefault="0083460C" w:rsidP="003330EE">
      <w:pPr>
        <w:spacing w:after="0"/>
      </w:pPr>
      <w:r>
        <w:separator/>
      </w:r>
    </w:p>
  </w:endnote>
  <w:endnote w:type="continuationSeparator" w:id="0">
    <w:p w:rsidR="0083460C" w:rsidRDefault="0083460C" w:rsidP="00333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0C" w:rsidRDefault="0083460C" w:rsidP="003330EE">
      <w:pPr>
        <w:spacing w:after="0"/>
      </w:pPr>
      <w:r>
        <w:separator/>
      </w:r>
    </w:p>
  </w:footnote>
  <w:footnote w:type="continuationSeparator" w:id="0">
    <w:p w:rsidR="0083460C" w:rsidRDefault="0083460C" w:rsidP="00333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EE" w:rsidRDefault="003330EE" w:rsidP="003330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F8F8835" wp14:editId="70694ED0">
          <wp:extent cx="4209698" cy="954157"/>
          <wp:effectExtent l="0" t="0" r="635" b="0"/>
          <wp:docPr id="5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0" descr="Logolink_OP_VVV_hor_cb_c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234" cy="9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2A3"/>
    <w:multiLevelType w:val="hybridMultilevel"/>
    <w:tmpl w:val="BEDEB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4C3"/>
    <w:multiLevelType w:val="hybridMultilevel"/>
    <w:tmpl w:val="1DD4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B"/>
    <w:rsid w:val="000035F5"/>
    <w:rsid w:val="00070663"/>
    <w:rsid w:val="00070D19"/>
    <w:rsid w:val="00084FDF"/>
    <w:rsid w:val="000B57B7"/>
    <w:rsid w:val="000D0606"/>
    <w:rsid w:val="000D6BB4"/>
    <w:rsid w:val="000F38E7"/>
    <w:rsid w:val="00100FD9"/>
    <w:rsid w:val="00104BE6"/>
    <w:rsid w:val="00116051"/>
    <w:rsid w:val="00124B2F"/>
    <w:rsid w:val="00176CB9"/>
    <w:rsid w:val="001A1EE6"/>
    <w:rsid w:val="001B34BC"/>
    <w:rsid w:val="001B6BE7"/>
    <w:rsid w:val="001B6C25"/>
    <w:rsid w:val="001C5414"/>
    <w:rsid w:val="001E68E4"/>
    <w:rsid w:val="00251325"/>
    <w:rsid w:val="00251359"/>
    <w:rsid w:val="002B4E39"/>
    <w:rsid w:val="002D09ED"/>
    <w:rsid w:val="00321DF2"/>
    <w:rsid w:val="0033095E"/>
    <w:rsid w:val="003330EE"/>
    <w:rsid w:val="0036388A"/>
    <w:rsid w:val="003A4817"/>
    <w:rsid w:val="003A7049"/>
    <w:rsid w:val="003C4156"/>
    <w:rsid w:val="003D14D8"/>
    <w:rsid w:val="003D4501"/>
    <w:rsid w:val="00405E8D"/>
    <w:rsid w:val="004207EB"/>
    <w:rsid w:val="00445326"/>
    <w:rsid w:val="004479A5"/>
    <w:rsid w:val="00464DD2"/>
    <w:rsid w:val="004B6413"/>
    <w:rsid w:val="004D5E13"/>
    <w:rsid w:val="004E66ED"/>
    <w:rsid w:val="00502074"/>
    <w:rsid w:val="00511ABE"/>
    <w:rsid w:val="00513A6E"/>
    <w:rsid w:val="00563135"/>
    <w:rsid w:val="005668AD"/>
    <w:rsid w:val="005B27A5"/>
    <w:rsid w:val="005B2D77"/>
    <w:rsid w:val="005C48EA"/>
    <w:rsid w:val="00615914"/>
    <w:rsid w:val="006347BD"/>
    <w:rsid w:val="00653A7A"/>
    <w:rsid w:val="00672637"/>
    <w:rsid w:val="0068728F"/>
    <w:rsid w:val="006D6A5E"/>
    <w:rsid w:val="006F4EBA"/>
    <w:rsid w:val="00716CDF"/>
    <w:rsid w:val="007171A7"/>
    <w:rsid w:val="007218E8"/>
    <w:rsid w:val="0077737E"/>
    <w:rsid w:val="007913F4"/>
    <w:rsid w:val="007B7700"/>
    <w:rsid w:val="007C296D"/>
    <w:rsid w:val="007C3681"/>
    <w:rsid w:val="007C421C"/>
    <w:rsid w:val="007D3D55"/>
    <w:rsid w:val="007F22A0"/>
    <w:rsid w:val="00807E48"/>
    <w:rsid w:val="00810CDF"/>
    <w:rsid w:val="00830910"/>
    <w:rsid w:val="0083460C"/>
    <w:rsid w:val="0087231A"/>
    <w:rsid w:val="008816AB"/>
    <w:rsid w:val="00886BDD"/>
    <w:rsid w:val="008943C2"/>
    <w:rsid w:val="008B2E0A"/>
    <w:rsid w:val="008C5796"/>
    <w:rsid w:val="00902C6A"/>
    <w:rsid w:val="00921FC6"/>
    <w:rsid w:val="009765CA"/>
    <w:rsid w:val="009C03BA"/>
    <w:rsid w:val="009D0BE0"/>
    <w:rsid w:val="00A05BE6"/>
    <w:rsid w:val="00A0679D"/>
    <w:rsid w:val="00A4427C"/>
    <w:rsid w:val="00A712E4"/>
    <w:rsid w:val="00A80663"/>
    <w:rsid w:val="00AA0AAC"/>
    <w:rsid w:val="00AD678F"/>
    <w:rsid w:val="00B23329"/>
    <w:rsid w:val="00B4114A"/>
    <w:rsid w:val="00B60D32"/>
    <w:rsid w:val="00B6380B"/>
    <w:rsid w:val="00BA2A17"/>
    <w:rsid w:val="00BB6699"/>
    <w:rsid w:val="00BC6535"/>
    <w:rsid w:val="00BE3C82"/>
    <w:rsid w:val="00BF0218"/>
    <w:rsid w:val="00BF08C6"/>
    <w:rsid w:val="00C23E1C"/>
    <w:rsid w:val="00C9768C"/>
    <w:rsid w:val="00CE6C30"/>
    <w:rsid w:val="00CE74A7"/>
    <w:rsid w:val="00CF2E09"/>
    <w:rsid w:val="00D01C17"/>
    <w:rsid w:val="00D27F06"/>
    <w:rsid w:val="00D3013E"/>
    <w:rsid w:val="00D30A5C"/>
    <w:rsid w:val="00D3143C"/>
    <w:rsid w:val="00D3727C"/>
    <w:rsid w:val="00D52CC0"/>
    <w:rsid w:val="00D63744"/>
    <w:rsid w:val="00D70D04"/>
    <w:rsid w:val="00D83483"/>
    <w:rsid w:val="00D87008"/>
    <w:rsid w:val="00D926C7"/>
    <w:rsid w:val="00E04EB3"/>
    <w:rsid w:val="00E707A2"/>
    <w:rsid w:val="00EA5AD9"/>
    <w:rsid w:val="00EB7D53"/>
    <w:rsid w:val="00ED76DE"/>
    <w:rsid w:val="00EE00F7"/>
    <w:rsid w:val="00EF7D84"/>
    <w:rsid w:val="00F103E5"/>
    <w:rsid w:val="00F1258B"/>
    <w:rsid w:val="00F522CA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DC2EE"/>
  <w15:chartTrackingRefBased/>
  <w15:docId w15:val="{0E91C2E4-FE17-42B2-B095-98EAC45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258B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58B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258B"/>
    <w:rPr>
      <w:rFonts w:ascii="Arial" w:eastAsiaTheme="majorEastAsia" w:hAnsi="Arial" w:cstheme="majorBidi"/>
      <w:bCs/>
      <w:color w:val="00579D"/>
      <w:sz w:val="32"/>
      <w:szCs w:val="26"/>
    </w:rPr>
  </w:style>
  <w:style w:type="paragraph" w:customStyle="1" w:styleId="Popisobrzku">
    <w:name w:val="Popis obrázku"/>
    <w:basedOn w:val="Normln"/>
    <w:link w:val="PopisobrzkuChar"/>
    <w:qFormat/>
    <w:rsid w:val="00F1258B"/>
    <w:pPr>
      <w:jc w:val="center"/>
    </w:pPr>
    <w:rPr>
      <w:rFonts w:cs="Arial"/>
      <w:i/>
      <w:sz w:val="18"/>
    </w:rPr>
  </w:style>
  <w:style w:type="character" w:customStyle="1" w:styleId="PopisobrzkuChar">
    <w:name w:val="Popis obrázku Char"/>
    <w:basedOn w:val="Standardnpsmoodstavce"/>
    <w:link w:val="Popisobrzku"/>
    <w:rsid w:val="00F1258B"/>
    <w:rPr>
      <w:rFonts w:ascii="Arial" w:hAnsi="Arial" w:cs="Arial"/>
      <w:i/>
      <w:sz w:val="18"/>
      <w:szCs w:val="24"/>
    </w:rPr>
  </w:style>
  <w:style w:type="table" w:styleId="Mkatabulky">
    <w:name w:val="Table Grid"/>
    <w:basedOn w:val="Normlntabulka"/>
    <w:uiPriority w:val="59"/>
    <w:rsid w:val="00F1258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30EE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30EE"/>
    <w:rPr>
      <w:rFonts w:ascii="Arial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6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B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BB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BB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B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B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27C"/>
    <w:pPr>
      <w:ind w:left="720"/>
      <w:contextualSpacing/>
    </w:pPr>
  </w:style>
  <w:style w:type="paragraph" w:styleId="Bezmezer">
    <w:name w:val="No Spacing"/>
    <w:uiPriority w:val="1"/>
    <w:qFormat/>
    <w:rsid w:val="00116051"/>
    <w:pPr>
      <w:spacing w:after="0" w:line="240" w:lineRule="auto"/>
      <w:jc w:val="both"/>
    </w:pPr>
    <w:rPr>
      <w:rFonts w:ascii="Arial" w:hAnsi="Arial"/>
      <w:szCs w:val="24"/>
    </w:rPr>
  </w:style>
  <w:style w:type="character" w:customStyle="1" w:styleId="st">
    <w:name w:val="st"/>
    <w:basedOn w:val="Standardnpsmoodstavce"/>
    <w:rsid w:val="00D52CC0"/>
  </w:style>
  <w:style w:type="character" w:styleId="Zdraznn">
    <w:name w:val="Emphasis"/>
    <w:basedOn w:val="Standardnpsmoodstavce"/>
    <w:uiPriority w:val="20"/>
    <w:qFormat/>
    <w:rsid w:val="00D52CC0"/>
    <w:rPr>
      <w:i/>
      <w:iCs/>
    </w:rPr>
  </w:style>
  <w:style w:type="character" w:styleId="Siln">
    <w:name w:val="Strong"/>
    <w:basedOn w:val="Standardnpsmoodstavce"/>
    <w:uiPriority w:val="22"/>
    <w:qFormat/>
    <w:rsid w:val="0010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208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2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45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8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492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328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979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92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82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03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5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48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38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86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57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859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40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2956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122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03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754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88CA-1C08-4A4A-9057-99A000E1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21</cp:revision>
  <dcterms:created xsi:type="dcterms:W3CDTF">2019-03-15T13:56:00Z</dcterms:created>
  <dcterms:modified xsi:type="dcterms:W3CDTF">2020-02-18T07:15:00Z</dcterms:modified>
</cp:coreProperties>
</file>