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AD" w:rsidRDefault="00925798" w:rsidP="00686CB5">
      <w:pPr>
        <w:spacing w:after="0"/>
        <w:jc w:val="left"/>
        <w:rPr>
          <w:rFonts w:ascii="Times New Roman" w:hAnsi="Times New Roman" w:cs="Times New Roman"/>
          <w:szCs w:val="22"/>
        </w:rPr>
      </w:pPr>
      <w:r w:rsidRPr="00686CB5">
        <w:rPr>
          <w:rFonts w:ascii="Times New Roman" w:hAnsi="Times New Roman" w:cs="Times New Roman"/>
          <w:szCs w:val="22"/>
        </w:rPr>
        <w:t>Příloha č. 2a Technická specifikace</w:t>
      </w:r>
    </w:p>
    <w:p w:rsidR="00925798" w:rsidRPr="00686CB5" w:rsidRDefault="00925798" w:rsidP="00686CB5">
      <w:pPr>
        <w:spacing w:after="0"/>
        <w:jc w:val="left"/>
        <w:rPr>
          <w:rFonts w:ascii="Times New Roman" w:hAnsi="Times New Roman" w:cs="Times New Roman"/>
          <w:szCs w:val="22"/>
        </w:rPr>
      </w:pPr>
    </w:p>
    <w:p w:rsidR="00F1258B" w:rsidRDefault="00F1258B" w:rsidP="003330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0EE">
        <w:rPr>
          <w:rFonts w:ascii="Times New Roman" w:hAnsi="Times New Roman" w:cs="Times New Roman"/>
          <w:b/>
          <w:sz w:val="32"/>
          <w:szCs w:val="32"/>
        </w:rPr>
        <w:t>Technická specifikace předmětu plnění</w:t>
      </w:r>
    </w:p>
    <w:p w:rsidR="00FC6FAD" w:rsidRPr="003330EE" w:rsidRDefault="00FC6FAD" w:rsidP="003330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F1258B" w:rsidRPr="003330EE" w:rsidTr="009C03BA"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1258B" w:rsidRPr="003330EE" w:rsidRDefault="00F1258B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sz w:val="22"/>
                <w:szCs w:val="22"/>
              </w:rPr>
              <w:t>Název veřejné zakázky</w:t>
            </w:r>
          </w:p>
        </w:tc>
        <w:tc>
          <w:tcPr>
            <w:tcW w:w="3633" w:type="pct"/>
          </w:tcPr>
          <w:p w:rsidR="00F1258B" w:rsidRPr="001C1D33" w:rsidRDefault="008E5A85" w:rsidP="00F522CA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UK - </w:t>
            </w:r>
            <w:proofErr w:type="spellStart"/>
            <w:r w:rsidR="00046EC7" w:rsidRPr="00046E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Potenciosta</w:t>
            </w:r>
            <w:r w:rsidR="00046E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proofErr w:type="spellEnd"/>
            <w:proofErr w:type="gramEnd"/>
          </w:p>
        </w:tc>
      </w:tr>
      <w:tr w:rsidR="00F1258B" w:rsidRPr="003330EE" w:rsidTr="009C03BA"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1258B" w:rsidRPr="003330EE" w:rsidRDefault="00F1258B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3633" w:type="pct"/>
          </w:tcPr>
          <w:p w:rsidR="003330EE" w:rsidRPr="003330EE" w:rsidRDefault="003330EE" w:rsidP="003330EE">
            <w:pPr>
              <w:spacing w:before="4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bCs/>
                <w:sz w:val="22"/>
                <w:szCs w:val="22"/>
              </w:rPr>
              <w:t>Univerzita Karlova, Ovocný trh 560/5, 116 36 Praha 1</w:t>
            </w:r>
          </w:p>
          <w:p w:rsidR="003330EE" w:rsidRPr="003330EE" w:rsidRDefault="003330EE" w:rsidP="003330EE">
            <w:pPr>
              <w:spacing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Jednající součást: Farmaceutická fakulta v Hradci Králové, Akademika Heyrovského 1203/8,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 05 Hradec Králové</w:t>
            </w:r>
          </w:p>
          <w:p w:rsidR="00F1258B" w:rsidRPr="003330EE" w:rsidRDefault="003330EE" w:rsidP="003330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bCs/>
                <w:sz w:val="22"/>
                <w:szCs w:val="22"/>
              </w:rPr>
              <w:t>IČ: 00216208, DIČ: CZ00216208</w:t>
            </w:r>
          </w:p>
        </w:tc>
      </w:tr>
      <w:tr w:rsidR="00F1258B" w:rsidRPr="003330EE" w:rsidTr="009C03BA">
        <w:tc>
          <w:tcPr>
            <w:tcW w:w="1367" w:type="pct"/>
            <w:shd w:val="clear" w:color="auto" w:fill="D9D9D9" w:themeFill="background1" w:themeFillShade="D9"/>
          </w:tcPr>
          <w:p w:rsidR="00F1258B" w:rsidRPr="003330EE" w:rsidRDefault="00F1258B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30EE">
              <w:rPr>
                <w:rFonts w:ascii="Times New Roman" w:hAnsi="Times New Roman" w:cs="Times New Roman"/>
                <w:sz w:val="22"/>
                <w:szCs w:val="22"/>
              </w:rPr>
              <w:t>Druh řízení</w:t>
            </w:r>
          </w:p>
        </w:tc>
        <w:tc>
          <w:tcPr>
            <w:tcW w:w="3633" w:type="pct"/>
          </w:tcPr>
          <w:p w:rsidR="00F1258B" w:rsidRPr="003330EE" w:rsidRDefault="00ED76DE" w:rsidP="003330EE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F1258B" w:rsidRPr="003330EE">
              <w:rPr>
                <w:rFonts w:ascii="Times New Roman" w:hAnsi="Times New Roman" w:cs="Times New Roman"/>
                <w:sz w:val="22"/>
                <w:szCs w:val="22"/>
              </w:rPr>
              <w:t>tevřené řízení veřejné zakázky na dodávky v nadlimitním režimu</w:t>
            </w:r>
            <w:r w:rsidR="001138A9">
              <w:rPr>
                <w:rFonts w:ascii="Times New Roman" w:hAnsi="Times New Roman" w:cs="Times New Roman"/>
                <w:sz w:val="22"/>
                <w:szCs w:val="22"/>
              </w:rPr>
              <w:t xml:space="preserve"> dle zákona č. 134/2016 Sb., v platném znění.</w:t>
            </w:r>
          </w:p>
        </w:tc>
      </w:tr>
    </w:tbl>
    <w:p w:rsidR="00FC6FAD" w:rsidRPr="003330EE" w:rsidRDefault="00FC6FAD" w:rsidP="003330EE">
      <w:pPr>
        <w:spacing w:after="0"/>
        <w:rPr>
          <w:rFonts w:ascii="Times New Roman" w:hAnsi="Times New Roman" w:cs="Times New Roman"/>
          <w:szCs w:val="22"/>
        </w:rPr>
      </w:pPr>
    </w:p>
    <w:p w:rsidR="00FC6FAD" w:rsidRPr="003330EE" w:rsidRDefault="00FC6FAD" w:rsidP="00ED76DE">
      <w:pPr>
        <w:pStyle w:val="Popisobrzku"/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4814"/>
      </w:tblGrid>
      <w:tr w:rsidR="00716CDF" w:rsidRPr="003330EE" w:rsidTr="000D6BB4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716CDF" w:rsidRDefault="00716CDF" w:rsidP="000D6BB4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Název přístrojového vybavení</w:t>
            </w:r>
          </w:p>
        </w:tc>
      </w:tr>
      <w:tr w:rsidR="00532303" w:rsidRPr="003330EE" w:rsidTr="002E2EF3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32303" w:rsidRDefault="00046EC7" w:rsidP="00532303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046EC7">
              <w:rPr>
                <w:rFonts w:ascii="Times New Roman" w:hAnsi="Times New Roman" w:cs="Times New Roman"/>
                <w:b/>
                <w:szCs w:val="22"/>
              </w:rPr>
              <w:t>Potenciosta</w:t>
            </w:r>
            <w:r w:rsidR="00C0159A">
              <w:rPr>
                <w:rFonts w:ascii="Times New Roman" w:hAnsi="Times New Roman" w:cs="Times New Roman"/>
                <w:b/>
                <w:szCs w:val="22"/>
              </w:rPr>
              <w:t>t</w:t>
            </w:r>
            <w:proofErr w:type="spellEnd"/>
          </w:p>
          <w:p w:rsidR="00280B71" w:rsidRPr="003330EE" w:rsidRDefault="00280B71" w:rsidP="00532303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532303" w:rsidRPr="003330EE" w:rsidTr="000D6BB4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532303" w:rsidRPr="00A83EBB" w:rsidRDefault="004A00FD" w:rsidP="00532303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Účel pořizovaného</w:t>
            </w:r>
            <w:r w:rsidR="00532303" w:rsidRPr="00A83EBB">
              <w:rPr>
                <w:rFonts w:ascii="Times New Roman" w:hAnsi="Times New Roman" w:cs="Times New Roman"/>
                <w:b/>
                <w:szCs w:val="22"/>
              </w:rPr>
              <w:t xml:space="preserve"> přístrojového vybavení</w:t>
            </w:r>
          </w:p>
        </w:tc>
      </w:tr>
      <w:tr w:rsidR="00532303" w:rsidRPr="003330EE" w:rsidTr="000D6BB4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A00FD" w:rsidRDefault="004A00FD" w:rsidP="004A00FD">
            <w:pPr>
              <w:spacing w:after="0"/>
              <w:rPr>
                <w:rFonts w:ascii="Roboto" w:hAnsi="Roboto" w:cs="Arial"/>
                <w:color w:val="202124"/>
              </w:rPr>
            </w:pPr>
          </w:p>
          <w:p w:rsidR="004A00FD" w:rsidRDefault="002A6983" w:rsidP="004A00FD">
            <w:pPr>
              <w:spacing w:after="0"/>
              <w:rPr>
                <w:rFonts w:ascii="Roboto" w:hAnsi="Roboto" w:cs="Arial"/>
                <w:color w:val="202124"/>
              </w:rPr>
            </w:pPr>
            <w:r w:rsidRPr="007C54BC">
              <w:rPr>
                <w:rFonts w:ascii="Roboto" w:hAnsi="Roboto" w:cs="Arial"/>
                <w:color w:val="202124"/>
              </w:rPr>
              <w:t>Vzhledem k</w:t>
            </w:r>
            <w:r w:rsidR="008E5A85" w:rsidRPr="007C54BC">
              <w:rPr>
                <w:rFonts w:ascii="Roboto" w:hAnsi="Roboto" w:cs="Arial"/>
                <w:color w:val="202124"/>
              </w:rPr>
              <w:t xml:space="preserve"> tomu, že v rámci výuky studentů </w:t>
            </w:r>
            <w:r w:rsidRPr="007C54BC">
              <w:rPr>
                <w:rFonts w:ascii="Roboto" w:hAnsi="Roboto" w:cs="Arial"/>
                <w:color w:val="202124"/>
              </w:rPr>
              <w:t>potřeb</w:t>
            </w:r>
            <w:r w:rsidR="008E5A85" w:rsidRPr="007C54BC">
              <w:rPr>
                <w:rFonts w:ascii="Roboto" w:hAnsi="Roboto" w:cs="Arial"/>
                <w:color w:val="202124"/>
              </w:rPr>
              <w:t>ujeme</w:t>
            </w:r>
            <w:r w:rsidRPr="007C54BC">
              <w:rPr>
                <w:rFonts w:ascii="Roboto" w:hAnsi="Roboto" w:cs="Arial"/>
                <w:color w:val="202124"/>
              </w:rPr>
              <w:t xml:space="preserve"> měřit redoxní vlastnosti sloučenin</w:t>
            </w:r>
            <w:r w:rsidR="008E5A85" w:rsidRPr="007C54BC">
              <w:rPr>
                <w:rFonts w:ascii="Roboto" w:hAnsi="Roboto" w:cs="Arial"/>
                <w:color w:val="202124"/>
              </w:rPr>
              <w:t>,</w:t>
            </w:r>
            <w:r w:rsidRPr="007C54BC">
              <w:rPr>
                <w:rFonts w:ascii="Roboto" w:hAnsi="Roboto" w:cs="Arial"/>
                <w:color w:val="202124"/>
              </w:rPr>
              <w:t xml:space="preserve"> poř</w:t>
            </w:r>
            <w:r w:rsidR="008E5A85" w:rsidRPr="007C54BC">
              <w:rPr>
                <w:rFonts w:ascii="Roboto" w:hAnsi="Roboto" w:cs="Arial"/>
                <w:color w:val="202124"/>
              </w:rPr>
              <w:t>izujeme</w:t>
            </w:r>
            <w:r w:rsidRPr="007C54BC">
              <w:rPr>
                <w:rFonts w:ascii="Roboto" w:hAnsi="Roboto" w:cs="Arial"/>
                <w:color w:val="202124"/>
              </w:rPr>
              <w:t xml:space="preserve"> </w:t>
            </w:r>
            <w:proofErr w:type="spellStart"/>
            <w:r w:rsidRPr="007C54BC">
              <w:rPr>
                <w:rFonts w:ascii="Roboto" w:hAnsi="Roboto" w:cs="Arial"/>
                <w:color w:val="202124"/>
              </w:rPr>
              <w:t>potenciostat</w:t>
            </w:r>
            <w:proofErr w:type="spellEnd"/>
            <w:r w:rsidRPr="007C54BC">
              <w:rPr>
                <w:rFonts w:ascii="Roboto" w:hAnsi="Roboto" w:cs="Arial"/>
                <w:color w:val="202124"/>
              </w:rPr>
              <w:t xml:space="preserve">, který bude v základní verzi schopen provádět měření </w:t>
            </w:r>
            <w:proofErr w:type="spellStart"/>
            <w:r w:rsidRPr="007C54BC">
              <w:rPr>
                <w:rFonts w:ascii="Roboto" w:hAnsi="Roboto" w:cs="Arial"/>
                <w:color w:val="202124"/>
              </w:rPr>
              <w:t>cyklovoltametrická</w:t>
            </w:r>
            <w:proofErr w:type="spellEnd"/>
            <w:r w:rsidRPr="007C54BC">
              <w:rPr>
                <w:rFonts w:ascii="Roboto" w:hAnsi="Roboto" w:cs="Arial"/>
                <w:color w:val="202124"/>
              </w:rPr>
              <w:t xml:space="preserve"> a elektrolýzu.</w:t>
            </w:r>
          </w:p>
          <w:p w:rsidR="00532303" w:rsidRPr="004A00FD" w:rsidRDefault="001D06DD" w:rsidP="004A00FD">
            <w:pPr>
              <w:spacing w:after="0"/>
              <w:rPr>
                <w:rFonts w:ascii="Roboto" w:hAnsi="Roboto" w:cs="Arial"/>
                <w:color w:val="202124"/>
              </w:rPr>
            </w:pPr>
            <w:r w:rsidRPr="007C54BC">
              <w:rPr>
                <w:rFonts w:ascii="Roboto" w:hAnsi="Roboto" w:cs="Arial"/>
                <w:color w:val="202124"/>
              </w:rPr>
              <w:t xml:space="preserve"> </w:t>
            </w:r>
          </w:p>
        </w:tc>
      </w:tr>
      <w:tr w:rsidR="00532303" w:rsidRPr="003330EE" w:rsidTr="000D6BB4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532303" w:rsidRPr="00A83EBB" w:rsidRDefault="00532303" w:rsidP="00532303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A83EBB">
              <w:rPr>
                <w:rFonts w:ascii="Times New Roman" w:hAnsi="Times New Roman" w:cs="Times New Roman"/>
                <w:b/>
                <w:szCs w:val="22"/>
              </w:rPr>
              <w:t>Požadavek na záruku a servis</w:t>
            </w:r>
          </w:p>
        </w:tc>
      </w:tr>
      <w:tr w:rsidR="00532303" w:rsidRPr="003330EE" w:rsidTr="000D6BB4">
        <w:trPr>
          <w:trHeight w:val="288"/>
          <w:tblHeader/>
        </w:trPr>
        <w:tc>
          <w:tcPr>
            <w:tcW w:w="905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:rsidR="004A00FD" w:rsidRDefault="004A00FD" w:rsidP="00532303">
            <w:pPr>
              <w:spacing w:after="0"/>
              <w:rPr>
                <w:rFonts w:ascii="Roboto" w:hAnsi="Roboto" w:cs="Arial"/>
                <w:i/>
                <w:iCs/>
                <w:color w:val="202124"/>
              </w:rPr>
            </w:pPr>
          </w:p>
          <w:p w:rsidR="00532303" w:rsidRDefault="00532303" w:rsidP="00532303">
            <w:pPr>
              <w:spacing w:after="0"/>
              <w:rPr>
                <w:rFonts w:ascii="Times New Roman" w:hAnsi="Times New Roman" w:cs="Times New Roman"/>
                <w:i/>
                <w:iCs/>
                <w:color w:val="202124"/>
              </w:rPr>
            </w:pPr>
            <w:r w:rsidRPr="00A83EBB">
              <w:rPr>
                <w:rFonts w:ascii="Roboto" w:hAnsi="Roboto" w:cs="Arial"/>
                <w:i/>
                <w:iCs/>
                <w:color w:val="202124"/>
              </w:rPr>
              <w:t xml:space="preserve">Zadavatel požaduje záruku za jakost předmětu koupě v trvání 24 měsíců, případně delší záruku, </w:t>
            </w:r>
            <w:r w:rsidRPr="007C54BC">
              <w:rPr>
                <w:rFonts w:ascii="Roboto" w:hAnsi="Roboto" w:cs="Arial"/>
                <w:i/>
                <w:iCs/>
                <w:color w:val="202124"/>
              </w:rPr>
              <w:t>stanoví-li tak právní předpisy nebo výrobce.</w:t>
            </w:r>
            <w:r w:rsidR="008E5A85" w:rsidRPr="007C54BC">
              <w:rPr>
                <w:rFonts w:ascii="Roboto" w:hAnsi="Roboto" w:cs="Arial"/>
                <w:i/>
                <w:iCs/>
                <w:color w:val="202124"/>
              </w:rPr>
              <w:t xml:space="preserve"> </w:t>
            </w:r>
            <w:r w:rsidR="008E5A85" w:rsidRPr="007C54BC">
              <w:rPr>
                <w:rFonts w:ascii="Times New Roman" w:hAnsi="Times New Roman" w:cs="Times New Roman"/>
                <w:i/>
                <w:iCs/>
                <w:color w:val="202124"/>
              </w:rPr>
              <w:t xml:space="preserve"> Požadavky na záruční a pozáruční servis jsou uvedeny v návrhu smlouvy, která je nedílnou součástí zadávací dokumentace.</w:t>
            </w:r>
          </w:p>
          <w:p w:rsidR="004A00FD" w:rsidRPr="00A83EBB" w:rsidRDefault="004A00FD" w:rsidP="00532303">
            <w:pPr>
              <w:spacing w:after="0"/>
              <w:rPr>
                <w:rFonts w:ascii="Roboto" w:hAnsi="Roboto" w:cs="Arial"/>
                <w:i/>
                <w:iCs/>
                <w:color w:val="202124"/>
              </w:rPr>
            </w:pPr>
            <w:bookmarkStart w:id="0" w:name="_GoBack"/>
            <w:bookmarkEnd w:id="0"/>
          </w:p>
          <w:p w:rsidR="00532303" w:rsidRPr="00A83EBB" w:rsidRDefault="00532303" w:rsidP="00532303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532303" w:rsidRPr="003330EE" w:rsidTr="000D6BB4">
        <w:trPr>
          <w:trHeight w:val="288"/>
        </w:trPr>
        <w:tc>
          <w:tcPr>
            <w:tcW w:w="90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532303" w:rsidRPr="00A83EBB" w:rsidRDefault="004A00FD" w:rsidP="00532303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Popis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přístrojového </w:t>
            </w: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vybavení</w:t>
            </w:r>
            <w:r w:rsidRPr="00A83EB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- </w:t>
            </w:r>
            <w:r w:rsidR="00532303" w:rsidRPr="00A83EBB">
              <w:rPr>
                <w:rFonts w:ascii="Times New Roman" w:hAnsi="Times New Roman" w:cs="Times New Roman"/>
                <w:b/>
                <w:szCs w:val="22"/>
              </w:rPr>
              <w:t>Základní</w:t>
            </w:r>
            <w:proofErr w:type="gramEnd"/>
            <w:r w:rsidR="00532303" w:rsidRPr="00A83EBB">
              <w:rPr>
                <w:rFonts w:ascii="Times New Roman" w:hAnsi="Times New Roman" w:cs="Times New Roman"/>
                <w:b/>
                <w:szCs w:val="22"/>
              </w:rPr>
              <w:t xml:space="preserve"> vlastnosti</w:t>
            </w:r>
          </w:p>
        </w:tc>
      </w:tr>
      <w:tr w:rsidR="00532303" w:rsidRPr="003330EE" w:rsidTr="00CD661E">
        <w:trPr>
          <w:trHeight w:val="288"/>
        </w:trPr>
        <w:tc>
          <w:tcPr>
            <w:tcW w:w="424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532303" w:rsidRPr="00A83EBB" w:rsidRDefault="00532303" w:rsidP="00532303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A83EBB">
              <w:rPr>
                <w:rFonts w:ascii="Times New Roman" w:hAnsi="Times New Roman" w:cs="Times New Roman"/>
                <w:b/>
                <w:szCs w:val="22"/>
              </w:rPr>
              <w:t>Požadavek na funkcionalitu</w:t>
            </w:r>
          </w:p>
        </w:tc>
        <w:tc>
          <w:tcPr>
            <w:tcW w:w="48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32303" w:rsidRPr="00A83EBB" w:rsidRDefault="00532303" w:rsidP="00532303">
            <w:pPr>
              <w:spacing w:after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A83EBB">
              <w:rPr>
                <w:rFonts w:ascii="Times New Roman" w:hAnsi="Times New Roman" w:cs="Times New Roman"/>
                <w:b/>
                <w:szCs w:val="22"/>
              </w:rPr>
              <w:t>Minimální požadavky</w:t>
            </w:r>
          </w:p>
        </w:tc>
      </w:tr>
      <w:tr w:rsidR="00532303" w:rsidRPr="003330EE" w:rsidTr="00280B71">
        <w:trPr>
          <w:trHeight w:val="1065"/>
        </w:trPr>
        <w:tc>
          <w:tcPr>
            <w:tcW w:w="424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A6983" w:rsidRPr="003330EE" w:rsidRDefault="004A00FD" w:rsidP="004A00FD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P</w:t>
            </w:r>
            <w:r w:rsidR="002A6983">
              <w:rPr>
                <w:rFonts w:ascii="Times New Roman" w:hAnsi="Times New Roman" w:cs="Times New Roman"/>
                <w:szCs w:val="22"/>
              </w:rPr>
              <w:t>otenciostat</w:t>
            </w:r>
            <w:proofErr w:type="spellEnd"/>
            <w:r w:rsidR="002A698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2A6983">
              <w:rPr>
                <w:rFonts w:ascii="Times New Roman" w:hAnsi="Times New Roman" w:cs="Times New Roman"/>
                <w:szCs w:val="22"/>
              </w:rPr>
              <w:t>galvanostat</w:t>
            </w:r>
            <w:proofErr w:type="spellEnd"/>
            <w:r w:rsidR="002A6983">
              <w:rPr>
                <w:rFonts w:ascii="Times New Roman" w:hAnsi="Times New Roman" w:cs="Times New Roman"/>
                <w:szCs w:val="22"/>
              </w:rPr>
              <w:t xml:space="preserve"> modulárního typu</w:t>
            </w:r>
            <w:r w:rsidR="003D2707">
              <w:rPr>
                <w:rFonts w:ascii="Times New Roman" w:hAnsi="Times New Roman" w:cs="Times New Roman"/>
                <w:szCs w:val="22"/>
              </w:rPr>
              <w:t xml:space="preserve"> s možností provádět experimenty ve dvou-, </w:t>
            </w:r>
            <w:proofErr w:type="gramStart"/>
            <w:r w:rsidR="003D2707">
              <w:rPr>
                <w:rFonts w:ascii="Times New Roman" w:hAnsi="Times New Roman" w:cs="Times New Roman"/>
                <w:szCs w:val="22"/>
              </w:rPr>
              <w:t>tří- nebo</w:t>
            </w:r>
            <w:proofErr w:type="gramEnd"/>
            <w:r w:rsidR="003D270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3D2707">
              <w:rPr>
                <w:rFonts w:ascii="Times New Roman" w:hAnsi="Times New Roman" w:cs="Times New Roman"/>
                <w:szCs w:val="22"/>
              </w:rPr>
              <w:t>čtyřelektrodovém</w:t>
            </w:r>
            <w:proofErr w:type="spellEnd"/>
            <w:r w:rsidR="003D2707">
              <w:rPr>
                <w:rFonts w:ascii="Times New Roman" w:hAnsi="Times New Roman" w:cs="Times New Roman"/>
                <w:szCs w:val="22"/>
              </w:rPr>
              <w:t xml:space="preserve"> uspořádání. Modularita znamená možnost budoucího rozšíření spektra </w:t>
            </w:r>
            <w:r w:rsidR="003D2707" w:rsidRPr="007C54BC">
              <w:rPr>
                <w:rFonts w:ascii="Times New Roman" w:hAnsi="Times New Roman" w:cs="Times New Roman"/>
                <w:szCs w:val="22"/>
              </w:rPr>
              <w:t>m</w:t>
            </w:r>
            <w:r w:rsidR="001D06DD" w:rsidRPr="007C54BC">
              <w:rPr>
                <w:rFonts w:ascii="Times New Roman" w:hAnsi="Times New Roman" w:cs="Times New Roman"/>
                <w:szCs w:val="22"/>
              </w:rPr>
              <w:t>ě</w:t>
            </w:r>
            <w:r w:rsidR="003D2707" w:rsidRPr="007C54BC">
              <w:rPr>
                <w:rFonts w:ascii="Times New Roman" w:hAnsi="Times New Roman" w:cs="Times New Roman"/>
                <w:szCs w:val="22"/>
              </w:rPr>
              <w:t xml:space="preserve">řicích metod například o polarografii. </w:t>
            </w:r>
            <w:r w:rsidR="008E5A85" w:rsidRPr="007C54BC">
              <w:rPr>
                <w:rFonts w:ascii="Times New Roman" w:hAnsi="Times New Roman" w:cs="Times New Roman"/>
                <w:szCs w:val="22"/>
              </w:rPr>
              <w:t>P</w:t>
            </w:r>
            <w:r w:rsidR="003D2707" w:rsidRPr="007C54BC">
              <w:rPr>
                <w:rFonts w:ascii="Times New Roman" w:hAnsi="Times New Roman" w:cs="Times New Roman"/>
                <w:szCs w:val="22"/>
              </w:rPr>
              <w:t xml:space="preserve">řístroj </w:t>
            </w:r>
            <w:r w:rsidR="008E5A85" w:rsidRPr="007C54BC">
              <w:rPr>
                <w:rFonts w:ascii="Times New Roman" w:hAnsi="Times New Roman" w:cs="Times New Roman"/>
                <w:szCs w:val="22"/>
              </w:rPr>
              <w:t xml:space="preserve">bude dodán </w:t>
            </w:r>
            <w:r w:rsidR="003D2707" w:rsidRPr="007C54BC">
              <w:rPr>
                <w:rFonts w:ascii="Times New Roman" w:hAnsi="Times New Roman" w:cs="Times New Roman"/>
                <w:szCs w:val="22"/>
              </w:rPr>
              <w:t>s</w:t>
            </w:r>
            <w:r w:rsidR="008E5A85" w:rsidRPr="007C54BC">
              <w:rPr>
                <w:rFonts w:ascii="Times New Roman" w:hAnsi="Times New Roman" w:cs="Times New Roman"/>
                <w:szCs w:val="22"/>
              </w:rPr>
              <w:t xml:space="preserve"> ovládacím </w:t>
            </w:r>
            <w:r w:rsidR="003D2707" w:rsidRPr="007C54BC">
              <w:rPr>
                <w:rFonts w:ascii="Times New Roman" w:hAnsi="Times New Roman" w:cs="Times New Roman"/>
                <w:szCs w:val="22"/>
              </w:rPr>
              <w:t>počítačem a softwarem umožňujícím řízení systému, sběr dat a manipulaci</w:t>
            </w:r>
            <w:r w:rsidR="001D06DD" w:rsidRPr="007C54BC">
              <w:rPr>
                <w:rFonts w:ascii="Times New Roman" w:hAnsi="Times New Roman" w:cs="Times New Roman"/>
                <w:szCs w:val="22"/>
              </w:rPr>
              <w:t xml:space="preserve"> s </w:t>
            </w:r>
            <w:proofErr w:type="gramStart"/>
            <w:r w:rsidR="001D06DD" w:rsidRPr="007C54BC">
              <w:rPr>
                <w:rFonts w:ascii="Times New Roman" w:hAnsi="Times New Roman" w:cs="Times New Roman"/>
                <w:szCs w:val="22"/>
              </w:rPr>
              <w:t>nimi</w:t>
            </w:r>
            <w:r w:rsidR="003D2707" w:rsidRPr="004A00FD">
              <w:rPr>
                <w:rFonts w:ascii="Times New Roman" w:hAnsi="Times New Roman" w:cs="Times New Roman"/>
                <w:szCs w:val="22"/>
              </w:rPr>
              <w:t>.</w:t>
            </w:r>
            <w:r w:rsidR="007C54BC" w:rsidRPr="004A00FD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="007C54BC" w:rsidRPr="004A00FD">
              <w:rPr>
                <w:rFonts w:ascii="Times New Roman" w:hAnsi="Times New Roman" w:cs="Times New Roman"/>
                <w:szCs w:val="22"/>
              </w:rPr>
              <w:t xml:space="preserve"> Jako součást dodávky požadujeme kompletní měrnou nádobku s elektrodami a připojovacími vodiči.</w:t>
            </w:r>
          </w:p>
        </w:tc>
        <w:tc>
          <w:tcPr>
            <w:tcW w:w="48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2014" w:rsidRDefault="003A2014" w:rsidP="003A2014">
            <w:pPr>
              <w:rPr>
                <w:rFonts w:ascii="Times New Roman" w:hAnsi="Times New Roman" w:cs="Times New Roman"/>
              </w:rPr>
            </w:pPr>
            <w:r w:rsidRPr="003A2014">
              <w:rPr>
                <w:rFonts w:ascii="Times New Roman" w:hAnsi="Times New Roman" w:cs="Times New Roman"/>
              </w:rPr>
              <w:t>Potenciálový rozsah: min. ±10 V, „</w:t>
            </w:r>
            <w:proofErr w:type="spellStart"/>
            <w:r w:rsidRPr="003A2014">
              <w:rPr>
                <w:rFonts w:ascii="Times New Roman" w:hAnsi="Times New Roman" w:cs="Times New Roman"/>
              </w:rPr>
              <w:t>compliance</w:t>
            </w:r>
            <w:proofErr w:type="spellEnd"/>
            <w:r w:rsidRPr="003A2014">
              <w:rPr>
                <w:rFonts w:ascii="Times New Roman" w:hAnsi="Times New Roman" w:cs="Times New Roman"/>
              </w:rPr>
              <w:t>“ napětí min. ±30 V.</w:t>
            </w:r>
          </w:p>
          <w:p w:rsidR="003A2014" w:rsidRPr="003A2014" w:rsidRDefault="003A2014" w:rsidP="003A2014">
            <w:pPr>
              <w:rPr>
                <w:rFonts w:ascii="Times New Roman" w:hAnsi="Times New Roman" w:cs="Times New Roman"/>
              </w:rPr>
            </w:pPr>
            <w:r w:rsidRPr="003A2014">
              <w:rPr>
                <w:rFonts w:ascii="Times New Roman" w:hAnsi="Times New Roman" w:cs="Times New Roman"/>
              </w:rPr>
              <w:t>Rozlišení měřeného potenciálu: 0.3 µV.</w:t>
            </w:r>
          </w:p>
          <w:p w:rsidR="003A2014" w:rsidRPr="003A2014" w:rsidRDefault="003A2014" w:rsidP="003A2014">
            <w:pPr>
              <w:rPr>
                <w:rFonts w:ascii="Times New Roman" w:hAnsi="Times New Roman" w:cs="Times New Roman"/>
              </w:rPr>
            </w:pPr>
            <w:r w:rsidRPr="003A2014">
              <w:rPr>
                <w:rFonts w:ascii="Times New Roman" w:hAnsi="Times New Roman" w:cs="Times New Roman"/>
              </w:rPr>
              <w:t xml:space="preserve">Maximální proud ±2A; </w:t>
            </w:r>
            <w:r>
              <w:rPr>
                <w:rFonts w:ascii="Times New Roman" w:hAnsi="Times New Roman" w:cs="Times New Roman"/>
              </w:rPr>
              <w:t xml:space="preserve">minimální </w:t>
            </w:r>
            <w:r w:rsidRPr="003A2014">
              <w:rPr>
                <w:rFonts w:ascii="Times New Roman" w:hAnsi="Times New Roman" w:cs="Times New Roman"/>
              </w:rPr>
              <w:t xml:space="preserve">proudové rozsahy 10 </w:t>
            </w:r>
            <w:proofErr w:type="spellStart"/>
            <w:r w:rsidRPr="003A2014">
              <w:rPr>
                <w:rFonts w:ascii="Times New Roman" w:hAnsi="Times New Roman" w:cs="Times New Roman"/>
              </w:rPr>
              <w:t>nA</w:t>
            </w:r>
            <w:proofErr w:type="spellEnd"/>
            <w:r w:rsidRPr="003A2014">
              <w:rPr>
                <w:rFonts w:ascii="Times New Roman" w:hAnsi="Times New Roman" w:cs="Times New Roman"/>
              </w:rPr>
              <w:t xml:space="preserve"> až 1</w:t>
            </w:r>
            <w:proofErr w:type="gramStart"/>
            <w:r w:rsidRPr="003A2014">
              <w:rPr>
                <w:rFonts w:ascii="Times New Roman" w:hAnsi="Times New Roman" w:cs="Times New Roman"/>
              </w:rPr>
              <w:t>A .</w:t>
            </w:r>
            <w:proofErr w:type="gramEnd"/>
          </w:p>
          <w:p w:rsidR="003A2014" w:rsidRPr="003A2014" w:rsidRDefault="003A2014" w:rsidP="003A2014">
            <w:pPr>
              <w:rPr>
                <w:rFonts w:ascii="Times New Roman" w:hAnsi="Times New Roman" w:cs="Times New Roman"/>
              </w:rPr>
            </w:pPr>
            <w:r w:rsidRPr="003A2014">
              <w:rPr>
                <w:rFonts w:ascii="Times New Roman" w:hAnsi="Times New Roman" w:cs="Times New Roman"/>
              </w:rPr>
              <w:t>Rozlišení měřeného proudu: 0.</w:t>
            </w:r>
            <w:proofErr w:type="gramStart"/>
            <w:r w:rsidRPr="003A2014">
              <w:rPr>
                <w:rFonts w:ascii="Times New Roman" w:hAnsi="Times New Roman" w:cs="Times New Roman"/>
              </w:rPr>
              <w:t>0003%</w:t>
            </w:r>
            <w:proofErr w:type="gramEnd"/>
            <w:r w:rsidRPr="003A2014">
              <w:rPr>
                <w:rFonts w:ascii="Times New Roman" w:hAnsi="Times New Roman" w:cs="Times New Roman"/>
              </w:rPr>
              <w:t xml:space="preserve"> z proudového rozsahu.</w:t>
            </w:r>
          </w:p>
          <w:p w:rsidR="003A2014" w:rsidRPr="003A2014" w:rsidRDefault="003A2014" w:rsidP="003A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3A2014">
              <w:rPr>
                <w:rFonts w:ascii="Times New Roman" w:hAnsi="Times New Roman" w:cs="Times New Roman"/>
              </w:rPr>
              <w:t>ychlost změny potenciálu</w:t>
            </w:r>
            <w:r>
              <w:rPr>
                <w:rFonts w:ascii="Times New Roman" w:hAnsi="Times New Roman" w:cs="Times New Roman"/>
              </w:rPr>
              <w:t xml:space="preserve"> až </w:t>
            </w:r>
            <w:r w:rsidRPr="003A2014">
              <w:rPr>
                <w:rFonts w:ascii="Times New Roman" w:hAnsi="Times New Roman" w:cs="Times New Roman"/>
              </w:rPr>
              <w:t>1000 V/s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2303" w:rsidRPr="00176CB9" w:rsidRDefault="00532303" w:rsidP="00532303">
            <w:pPr>
              <w:spacing w:after="0"/>
              <w:jc w:val="left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</w:tr>
    </w:tbl>
    <w:p w:rsidR="00485540" w:rsidRPr="00686CB5" w:rsidRDefault="000D6BB4" w:rsidP="00485540">
      <w:pPr>
        <w:spacing w:after="0"/>
        <w:rPr>
          <w:rFonts w:ascii="Roboto" w:hAnsi="Roboto" w:cs="Arial"/>
          <w:i/>
          <w:iCs/>
          <w:color w:val="202124"/>
        </w:rPr>
      </w:pPr>
      <w:r>
        <w:rPr>
          <w:rFonts w:ascii="Times New Roman" w:hAnsi="Times New Roman" w:cs="Times New Roman"/>
          <w:szCs w:val="22"/>
        </w:rPr>
        <w:br w:type="textWrapping" w:clear="all"/>
      </w:r>
      <w:r w:rsidR="00485540" w:rsidRPr="00A83EBB">
        <w:rPr>
          <w:rFonts w:ascii="Times New Roman" w:hAnsi="Times New Roman" w:cs="Times New Roman"/>
          <w:szCs w:val="22"/>
          <w:lang w:eastAsia="fr-FR"/>
        </w:rPr>
        <w:t xml:space="preserve">V </w:t>
      </w:r>
      <w:r w:rsidR="00485540" w:rsidRPr="00A83EBB">
        <w:rPr>
          <w:rFonts w:ascii="Times New Roman" w:hAnsi="Times New Roman"/>
          <w:szCs w:val="22"/>
          <w:lang w:eastAsia="fr-FR"/>
        </w:rPr>
        <w:t>nabídkové ceně účastník zahrne dopravu k odběrateli, instalaci</w:t>
      </w:r>
      <w:r w:rsidR="004A00FD">
        <w:rPr>
          <w:rFonts w:ascii="Times New Roman" w:hAnsi="Times New Roman"/>
          <w:szCs w:val="22"/>
          <w:lang w:eastAsia="fr-FR"/>
        </w:rPr>
        <w:t xml:space="preserve">, </w:t>
      </w:r>
      <w:r w:rsidR="00280B71" w:rsidRPr="00A83EBB">
        <w:rPr>
          <w:rFonts w:ascii="Times New Roman" w:hAnsi="Times New Roman"/>
          <w:szCs w:val="22"/>
          <w:lang w:eastAsia="fr-FR"/>
        </w:rPr>
        <w:t>demonstraci /ukázku/</w:t>
      </w:r>
      <w:r w:rsidR="004A00FD">
        <w:rPr>
          <w:rFonts w:ascii="Times New Roman" w:hAnsi="Times New Roman"/>
          <w:szCs w:val="22"/>
          <w:lang w:eastAsia="fr-FR"/>
        </w:rPr>
        <w:t xml:space="preserve"> provozu</w:t>
      </w:r>
      <w:r w:rsidR="00485540" w:rsidRPr="00A83EBB">
        <w:rPr>
          <w:rFonts w:ascii="Times New Roman" w:hAnsi="Times New Roman"/>
          <w:szCs w:val="22"/>
          <w:lang w:eastAsia="fr-FR"/>
        </w:rPr>
        <w:t xml:space="preserve">, zaškolení obsluhy a dokumentaci - </w:t>
      </w:r>
      <w:r w:rsidR="00485540" w:rsidRPr="00A83EBB">
        <w:rPr>
          <w:rFonts w:ascii="Roboto" w:hAnsi="Roboto" w:cs="Arial"/>
          <w:i/>
          <w:iCs/>
          <w:color w:val="202124"/>
        </w:rPr>
        <w:t>– viz návrh kupní smlouvy, jako nedílné součásti zadávací dokumentace.</w:t>
      </w:r>
    </w:p>
    <w:p w:rsidR="00280B71" w:rsidRDefault="00280B71" w:rsidP="00280B71">
      <w:pPr>
        <w:rPr>
          <w:rFonts w:cs="Arial"/>
          <w:sz w:val="20"/>
          <w:szCs w:val="20"/>
        </w:rPr>
      </w:pPr>
    </w:p>
    <w:sectPr w:rsidR="00280B71" w:rsidSect="003330EE">
      <w:headerReference w:type="default" r:id="rId7"/>
      <w:pgSz w:w="11906" w:h="16838"/>
      <w:pgMar w:top="170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9E" w:rsidRDefault="009B5F9E" w:rsidP="003330EE">
      <w:pPr>
        <w:spacing w:after="0"/>
      </w:pPr>
      <w:r>
        <w:separator/>
      </w:r>
    </w:p>
  </w:endnote>
  <w:endnote w:type="continuationSeparator" w:id="0">
    <w:p w:rsidR="009B5F9E" w:rsidRDefault="009B5F9E" w:rsidP="00333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9E" w:rsidRDefault="009B5F9E" w:rsidP="003330EE">
      <w:pPr>
        <w:spacing w:after="0"/>
      </w:pPr>
      <w:r>
        <w:separator/>
      </w:r>
    </w:p>
  </w:footnote>
  <w:footnote w:type="continuationSeparator" w:id="0">
    <w:p w:rsidR="009B5F9E" w:rsidRDefault="009B5F9E" w:rsidP="00333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0EE" w:rsidRDefault="003330EE" w:rsidP="003330E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F8F8835" wp14:editId="70694ED0">
          <wp:extent cx="4209698" cy="954157"/>
          <wp:effectExtent l="0" t="0" r="635" b="0"/>
          <wp:docPr id="10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0" descr="Logolink_OP_VVV_hor_cb_cz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234" cy="96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8B"/>
    <w:rsid w:val="000035F5"/>
    <w:rsid w:val="00046EC7"/>
    <w:rsid w:val="00070663"/>
    <w:rsid w:val="00070D19"/>
    <w:rsid w:val="00081F02"/>
    <w:rsid w:val="00084FDF"/>
    <w:rsid w:val="000C3548"/>
    <w:rsid w:val="000D0606"/>
    <w:rsid w:val="000D6BB4"/>
    <w:rsid w:val="000F38E7"/>
    <w:rsid w:val="00104BE6"/>
    <w:rsid w:val="001138A9"/>
    <w:rsid w:val="00124B2F"/>
    <w:rsid w:val="00176CB9"/>
    <w:rsid w:val="00180021"/>
    <w:rsid w:val="001A1EE6"/>
    <w:rsid w:val="001B34BC"/>
    <w:rsid w:val="001B6BE7"/>
    <w:rsid w:val="001C1D33"/>
    <w:rsid w:val="001C5414"/>
    <w:rsid w:val="001D06DD"/>
    <w:rsid w:val="00251359"/>
    <w:rsid w:val="002579E3"/>
    <w:rsid w:val="00280B71"/>
    <w:rsid w:val="002A4B0F"/>
    <w:rsid w:val="002A6983"/>
    <w:rsid w:val="00321286"/>
    <w:rsid w:val="00321DF2"/>
    <w:rsid w:val="003330EE"/>
    <w:rsid w:val="0036388A"/>
    <w:rsid w:val="003A2014"/>
    <w:rsid w:val="003A4817"/>
    <w:rsid w:val="003A7049"/>
    <w:rsid w:val="003C4156"/>
    <w:rsid w:val="003D14D8"/>
    <w:rsid w:val="003D2707"/>
    <w:rsid w:val="003D4501"/>
    <w:rsid w:val="004207EB"/>
    <w:rsid w:val="00425392"/>
    <w:rsid w:val="00445326"/>
    <w:rsid w:val="00485540"/>
    <w:rsid w:val="004A00FD"/>
    <w:rsid w:val="004D5E13"/>
    <w:rsid w:val="00502074"/>
    <w:rsid w:val="00532303"/>
    <w:rsid w:val="00563135"/>
    <w:rsid w:val="005668AD"/>
    <w:rsid w:val="005B2D77"/>
    <w:rsid w:val="005B521F"/>
    <w:rsid w:val="005C48EA"/>
    <w:rsid w:val="0063157F"/>
    <w:rsid w:val="00672637"/>
    <w:rsid w:val="00685F8E"/>
    <w:rsid w:val="00686CB5"/>
    <w:rsid w:val="0068728F"/>
    <w:rsid w:val="006B67C4"/>
    <w:rsid w:val="006D6A5E"/>
    <w:rsid w:val="006F4EBA"/>
    <w:rsid w:val="00716CDF"/>
    <w:rsid w:val="007171A7"/>
    <w:rsid w:val="007218E8"/>
    <w:rsid w:val="0077737E"/>
    <w:rsid w:val="007913F4"/>
    <w:rsid w:val="007B7700"/>
    <w:rsid w:val="007C296D"/>
    <w:rsid w:val="007C3681"/>
    <w:rsid w:val="007C452C"/>
    <w:rsid w:val="007C54BC"/>
    <w:rsid w:val="007D3D55"/>
    <w:rsid w:val="007F22A0"/>
    <w:rsid w:val="00830910"/>
    <w:rsid w:val="008816AB"/>
    <w:rsid w:val="00886BDD"/>
    <w:rsid w:val="008E5A85"/>
    <w:rsid w:val="00902C6A"/>
    <w:rsid w:val="00921FC6"/>
    <w:rsid w:val="00925798"/>
    <w:rsid w:val="009765CA"/>
    <w:rsid w:val="009B5F9E"/>
    <w:rsid w:val="009C03BA"/>
    <w:rsid w:val="00A4427C"/>
    <w:rsid w:val="00A712E4"/>
    <w:rsid w:val="00A80663"/>
    <w:rsid w:val="00A83EBB"/>
    <w:rsid w:val="00AA0AAC"/>
    <w:rsid w:val="00B4114A"/>
    <w:rsid w:val="00BA2A17"/>
    <w:rsid w:val="00BB6699"/>
    <w:rsid w:val="00BE3C82"/>
    <w:rsid w:val="00BF08C6"/>
    <w:rsid w:val="00C0159A"/>
    <w:rsid w:val="00C23E1C"/>
    <w:rsid w:val="00C9768C"/>
    <w:rsid w:val="00CD661E"/>
    <w:rsid w:val="00CE6C30"/>
    <w:rsid w:val="00CE74A7"/>
    <w:rsid w:val="00CF2E09"/>
    <w:rsid w:val="00D27F06"/>
    <w:rsid w:val="00D3013E"/>
    <w:rsid w:val="00D63744"/>
    <w:rsid w:val="00D83483"/>
    <w:rsid w:val="00D87008"/>
    <w:rsid w:val="00D926C7"/>
    <w:rsid w:val="00E3405D"/>
    <w:rsid w:val="00EA5AD9"/>
    <w:rsid w:val="00EB7D53"/>
    <w:rsid w:val="00ED5316"/>
    <w:rsid w:val="00ED76DE"/>
    <w:rsid w:val="00EF7D84"/>
    <w:rsid w:val="00F103E5"/>
    <w:rsid w:val="00F1258B"/>
    <w:rsid w:val="00F522CA"/>
    <w:rsid w:val="00F64FA8"/>
    <w:rsid w:val="00F757A6"/>
    <w:rsid w:val="00F86989"/>
    <w:rsid w:val="00FC6FAD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F4B9D"/>
  <w15:chartTrackingRefBased/>
  <w15:docId w15:val="{0E91C2E4-FE17-42B2-B095-98EAC45B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258B"/>
    <w:pPr>
      <w:spacing w:after="120" w:line="240" w:lineRule="auto"/>
      <w:jc w:val="both"/>
    </w:pPr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58B"/>
    <w:pPr>
      <w:keepNext/>
      <w:keepLines/>
      <w:spacing w:before="200"/>
      <w:jc w:val="left"/>
      <w:outlineLvl w:val="1"/>
    </w:pPr>
    <w:rPr>
      <w:rFonts w:eastAsiaTheme="majorEastAsia" w:cstheme="majorBidi"/>
      <w:bCs/>
      <w:color w:val="00579D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258B"/>
    <w:rPr>
      <w:rFonts w:ascii="Arial" w:eastAsiaTheme="majorEastAsia" w:hAnsi="Arial" w:cstheme="majorBidi"/>
      <w:bCs/>
      <w:color w:val="00579D"/>
      <w:sz w:val="32"/>
      <w:szCs w:val="26"/>
    </w:rPr>
  </w:style>
  <w:style w:type="paragraph" w:customStyle="1" w:styleId="Popisobrzku">
    <w:name w:val="Popis obrázku"/>
    <w:basedOn w:val="Normln"/>
    <w:link w:val="PopisobrzkuChar"/>
    <w:qFormat/>
    <w:rsid w:val="00F1258B"/>
    <w:pPr>
      <w:jc w:val="center"/>
    </w:pPr>
    <w:rPr>
      <w:rFonts w:cs="Arial"/>
      <w:i/>
      <w:sz w:val="18"/>
    </w:rPr>
  </w:style>
  <w:style w:type="character" w:customStyle="1" w:styleId="PopisobrzkuChar">
    <w:name w:val="Popis obrázku Char"/>
    <w:basedOn w:val="Standardnpsmoodstavce"/>
    <w:link w:val="Popisobrzku"/>
    <w:rsid w:val="00F1258B"/>
    <w:rPr>
      <w:rFonts w:ascii="Arial" w:hAnsi="Arial" w:cs="Arial"/>
      <w:i/>
      <w:sz w:val="18"/>
      <w:szCs w:val="24"/>
    </w:rPr>
  </w:style>
  <w:style w:type="table" w:styleId="Mkatabulky">
    <w:name w:val="Table Grid"/>
    <w:basedOn w:val="Normlntabulka"/>
    <w:uiPriority w:val="59"/>
    <w:rsid w:val="00F1258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330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330EE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3330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30EE"/>
    <w:rPr>
      <w:rFonts w:ascii="Arial" w:hAnsi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6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B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BB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BB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B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BB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0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4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1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9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8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71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95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5208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62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45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0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38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99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492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328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979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92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382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43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03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15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6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86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7481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38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86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57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859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940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4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2956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8122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403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754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EBE1-F353-480F-8E6F-C5E932E6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Karlova v Praze, Farmaceutická fakulta v HK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Jiří Včeliš</cp:lastModifiedBy>
  <cp:revision>10</cp:revision>
  <dcterms:created xsi:type="dcterms:W3CDTF">2020-02-25T10:04:00Z</dcterms:created>
  <dcterms:modified xsi:type="dcterms:W3CDTF">2020-03-17T06:32:00Z</dcterms:modified>
</cp:coreProperties>
</file>