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</w:t>
      </w:r>
      <w:bookmarkStart w:id="0" w:name="_GoBack"/>
      <w:bookmarkEnd w:id="0"/>
      <w:r w:rsidR="00AB19ED">
        <w:rPr>
          <w:rFonts w:asciiTheme="minorHAnsi" w:hAnsiTheme="minorHAnsi"/>
          <w:sz w:val="22"/>
          <w:szCs w:val="22"/>
        </w:rPr>
        <w:t>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lastRenderedPageBreak/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Default="00E60529" w:rsidP="00D64F1D">
      <w:pPr>
        <w:spacing w:before="60" w:after="60" w:line="264" w:lineRule="auto"/>
        <w:ind w:left="284" w:hanging="283"/>
        <w:jc w:val="both"/>
      </w:pPr>
      <w:r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:rsidR="000E7120" w:rsidRPr="00886999" w:rsidRDefault="000E712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0E7120" w:rsidRDefault="000E712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Pr="0097040A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</w:r>
      <w:r w:rsidR="009A5567" w:rsidRPr="0097040A">
        <w:rPr>
          <w:b w:val="0"/>
          <w:sz w:val="22"/>
        </w:rPr>
        <w:t>neuzavřel a neuzavře zakázanou dohodu podle zákona č. 143/2001 Sb., o ochraně hospodářské soutěže a o změně některých zákonů (zákon o ochraně hospodářské soutěže</w:t>
      </w:r>
      <w:r w:rsidR="001269D5" w:rsidRPr="0097040A">
        <w:rPr>
          <w:b w:val="0"/>
          <w:sz w:val="22"/>
        </w:rPr>
        <w:t>), v platném</w:t>
      </w:r>
      <w:r w:rsidR="009A5567" w:rsidRPr="0097040A">
        <w:rPr>
          <w:b w:val="0"/>
          <w:sz w:val="22"/>
        </w:rPr>
        <w:t xml:space="preserve"> znění, v souvislosti s touto veřejnou zakázkou</w:t>
      </w:r>
      <w:r w:rsidR="00EB108B" w:rsidRPr="0097040A">
        <w:rPr>
          <w:b w:val="0"/>
          <w:sz w:val="22"/>
        </w:rPr>
        <w:t>,</w:t>
      </w:r>
    </w:p>
    <w:p w:rsidR="009A5567" w:rsidRPr="0097040A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 w:rsidRPr="0097040A">
        <w:rPr>
          <w:b w:val="0"/>
          <w:sz w:val="22"/>
        </w:rPr>
        <w:t>2.</w:t>
      </w:r>
      <w:r w:rsidR="009A5567" w:rsidRPr="0097040A">
        <w:rPr>
          <w:b w:val="0"/>
          <w:sz w:val="22"/>
        </w:rPr>
        <w:tab/>
        <w:t xml:space="preserve">se </w:t>
      </w:r>
      <w:r w:rsidR="00EB108B" w:rsidRPr="0097040A">
        <w:rPr>
          <w:b w:val="0"/>
          <w:sz w:val="22"/>
        </w:rPr>
        <w:t>před podáním nabídky podrobně seznámil se zadávacími podmínkami této veřejné zakázky,</w:t>
      </w:r>
    </w:p>
    <w:p w:rsidR="00C4779C" w:rsidRPr="0097040A" w:rsidRDefault="00C4779C" w:rsidP="00C4779C">
      <w:pPr>
        <w:pStyle w:val="NadpisPojar"/>
        <w:spacing w:line="264" w:lineRule="auto"/>
        <w:ind w:left="284" w:hanging="284"/>
        <w:rPr>
          <w:rFonts w:cstheme="minorHAnsi"/>
          <w:b w:val="0"/>
          <w:sz w:val="22"/>
        </w:rPr>
      </w:pPr>
      <w:r w:rsidRPr="0097040A">
        <w:rPr>
          <w:b w:val="0"/>
          <w:sz w:val="22"/>
        </w:rPr>
        <w:t>3.</w:t>
      </w:r>
      <w:r w:rsidRPr="0097040A">
        <w:rPr>
          <w:b w:val="0"/>
          <w:sz w:val="22"/>
        </w:rPr>
        <w:tab/>
        <w:t xml:space="preserve">akceptuje právo zadavatele </w:t>
      </w:r>
      <w:r w:rsidR="0097040A">
        <w:rPr>
          <w:b w:val="0"/>
          <w:sz w:val="22"/>
        </w:rPr>
        <w:t xml:space="preserve">požadovat </w:t>
      </w:r>
      <w:r w:rsidRPr="0097040A">
        <w:rPr>
          <w:b w:val="0"/>
          <w:sz w:val="22"/>
        </w:rPr>
        <w:t>před u</w:t>
      </w:r>
      <w:r w:rsidRPr="0097040A">
        <w:rPr>
          <w:rFonts w:cstheme="minorHAnsi"/>
          <w:b w:val="0"/>
          <w:sz w:val="22"/>
        </w:rPr>
        <w:t>zavřením smlouvy po vybraném dodavateli identifikační údaje všech osob, které jsou jeho skutečným majitelem podle zákona o některých opatřeních proti legalizaci výnosů z trestné činnosti a financování terorismu a listiny prokazující vztah těchto osob k vybranému dodavateli, v případě že tyto údaje nebude moci zjistit postupem</w:t>
      </w:r>
      <w:r w:rsidR="00167A97">
        <w:rPr>
          <w:rFonts w:cstheme="minorHAnsi"/>
          <w:b w:val="0"/>
          <w:sz w:val="22"/>
        </w:rPr>
        <w:t xml:space="preserve"> podle ust. § 122 odst. 4 ZZVZ,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511391197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.....................</w:t>
      </w:r>
      <w:permEnd w:id="511391197"/>
      <w:r w:rsidRPr="0007541F">
        <w:t xml:space="preserve"> dne </w:t>
      </w:r>
      <w:permStart w:id="878839272" w:edGrp="everyone"/>
      <w:r w:rsidRPr="0007541F">
        <w:rPr>
          <w:highlight w:val="yellow"/>
        </w:rPr>
        <w:t>.................................</w:t>
      </w:r>
      <w:permEnd w:id="878839272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B56FC2" w:rsidRDefault="00B56FC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578310750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578310750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739397560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739397560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3E" w:rsidRDefault="004F583E" w:rsidP="00F54EFE">
      <w:pPr>
        <w:spacing w:after="0" w:line="240" w:lineRule="auto"/>
      </w:pPr>
      <w:r>
        <w:separator/>
      </w:r>
    </w:p>
  </w:endnote>
  <w:endnote w:type="continuationSeparator" w:id="0">
    <w:p w:rsidR="004F583E" w:rsidRDefault="004F583E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4F2873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rPr>
        <w:sz w:val="20"/>
      </w:rPr>
      <w:t xml:space="preserve">LFP – Dodávka </w:t>
    </w:r>
    <w:proofErr w:type="spellStart"/>
    <w:r>
      <w:rPr>
        <w:sz w:val="20"/>
      </w:rPr>
      <w:t>hlubokomrazících</w:t>
    </w:r>
    <w:proofErr w:type="spellEnd"/>
    <w:r>
      <w:rPr>
        <w:sz w:val="20"/>
      </w:rPr>
      <w:t xml:space="preserve"> boxů</w:t>
    </w:r>
    <w:r w:rsidR="002A3E3A">
      <w:rPr>
        <w:sz w:val="20"/>
      </w:rPr>
      <w:t xml:space="preserve"> 2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E11C0E">
      <w:rPr>
        <w:b/>
        <w:noProof/>
      </w:rPr>
      <w:t>2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3E" w:rsidRDefault="004F583E" w:rsidP="00F54EFE">
      <w:pPr>
        <w:spacing w:after="0" w:line="240" w:lineRule="auto"/>
      </w:pPr>
      <w:r>
        <w:separator/>
      </w:r>
    </w:p>
  </w:footnote>
  <w:footnote w:type="continuationSeparator" w:id="0">
    <w:p w:rsidR="004F583E" w:rsidRDefault="004F583E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6"/>
      <w:gridCol w:w="7236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tOMVt+tz5npTp3gXZ8++roKfq9mXKcey5Ll0sVseL/ldtQSDu7VH04xbgs6maIwmtUhrl+iv4kB0kSECGLItg==" w:salt="T3ansVH1ixf7v7pP/RtnO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1FD5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3E3A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B3E02"/>
    <w:rsid w:val="003B45D3"/>
    <w:rsid w:val="003C1CF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2873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B3B50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82980"/>
    <w:rsid w:val="0069171A"/>
    <w:rsid w:val="006A36CA"/>
    <w:rsid w:val="006A4914"/>
    <w:rsid w:val="006A6693"/>
    <w:rsid w:val="006B2D52"/>
    <w:rsid w:val="006B39A2"/>
    <w:rsid w:val="006B3B8E"/>
    <w:rsid w:val="006C4445"/>
    <w:rsid w:val="006D077D"/>
    <w:rsid w:val="006D08E4"/>
    <w:rsid w:val="006D17CB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4F5C"/>
    <w:rsid w:val="007E535B"/>
    <w:rsid w:val="007F4934"/>
    <w:rsid w:val="00800EB9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4113B"/>
    <w:rsid w:val="0095181D"/>
    <w:rsid w:val="0097040A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240B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665A"/>
    <w:rsid w:val="00C56C85"/>
    <w:rsid w:val="00C64527"/>
    <w:rsid w:val="00C70058"/>
    <w:rsid w:val="00C71028"/>
    <w:rsid w:val="00C835E9"/>
    <w:rsid w:val="00C938CA"/>
    <w:rsid w:val="00CA02E3"/>
    <w:rsid w:val="00CB7D60"/>
    <w:rsid w:val="00CD6EF4"/>
    <w:rsid w:val="00CE3188"/>
    <w:rsid w:val="00CF356E"/>
    <w:rsid w:val="00CF72BE"/>
    <w:rsid w:val="00D2034C"/>
    <w:rsid w:val="00D2421F"/>
    <w:rsid w:val="00D2753D"/>
    <w:rsid w:val="00D57C28"/>
    <w:rsid w:val="00D61A4B"/>
    <w:rsid w:val="00D64F1D"/>
    <w:rsid w:val="00D760EF"/>
    <w:rsid w:val="00D81E7C"/>
    <w:rsid w:val="00D90FBC"/>
    <w:rsid w:val="00D932A5"/>
    <w:rsid w:val="00DA19A0"/>
    <w:rsid w:val="00DA23CC"/>
    <w:rsid w:val="00DA5CE5"/>
    <w:rsid w:val="00DB436A"/>
    <w:rsid w:val="00DB70CE"/>
    <w:rsid w:val="00E04EF6"/>
    <w:rsid w:val="00E07CD0"/>
    <w:rsid w:val="00E11C0E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1C83F"/>
  <w15:docId w15:val="{635C52B0-FE4F-4932-BC0D-C0D265D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7606-D67A-4900-BFA9-E12F8F0D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3656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6</cp:revision>
  <dcterms:created xsi:type="dcterms:W3CDTF">2020-08-06T08:24:00Z</dcterms:created>
  <dcterms:modified xsi:type="dcterms:W3CDTF">2020-09-09T11:10:00Z</dcterms:modified>
</cp:coreProperties>
</file>