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CEEA" w14:textId="77777777" w:rsidR="00AE5AB5" w:rsidRDefault="00AE5AB5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  <w:bookmarkStart w:id="0" w:name="_GoBack"/>
      <w:bookmarkEnd w:id="0"/>
    </w:p>
    <w:p w14:paraId="0C7E8B88" w14:textId="789E3970" w:rsidR="00AE5AB5" w:rsidRPr="00AE5AB5" w:rsidRDefault="00AE5AB5" w:rsidP="007E6D97">
      <w:pPr>
        <w:pStyle w:val="Zkladntext21"/>
        <w:jc w:val="both"/>
        <w:rPr>
          <w:rFonts w:ascii="Arial" w:hAnsi="Arial" w:cs="Arial"/>
          <w:sz w:val="20"/>
        </w:rPr>
      </w:pPr>
      <w:r w:rsidRPr="00AE5AB5">
        <w:rPr>
          <w:rFonts w:ascii="Arial" w:hAnsi="Arial" w:cs="Arial"/>
          <w:sz w:val="20"/>
        </w:rPr>
        <w:t>NORMÁLNÍ SLUŽBY</w:t>
      </w:r>
    </w:p>
    <w:p w14:paraId="505314B4" w14:textId="77777777" w:rsidR="00AE5AB5" w:rsidRDefault="00AE5AB5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6E8E77B8" w14:textId="6DBB9514" w:rsidR="002A1E54" w:rsidRPr="00AE5AB5" w:rsidRDefault="007E6D97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  <w:r w:rsidRPr="00AE5AB5">
        <w:rPr>
          <w:rFonts w:ascii="Arial" w:hAnsi="Arial" w:cs="Arial"/>
          <w:b w:val="0"/>
          <w:sz w:val="20"/>
        </w:rPr>
        <w:t xml:space="preserve">Objednatel bude Konzultantovi hradit cenu za poskytované </w:t>
      </w:r>
      <w:r w:rsidR="00ED6AD4" w:rsidRPr="00AE5AB5">
        <w:rPr>
          <w:rFonts w:ascii="Arial" w:hAnsi="Arial" w:cs="Arial"/>
          <w:b w:val="0"/>
          <w:sz w:val="20"/>
        </w:rPr>
        <w:t>Normální s</w:t>
      </w:r>
      <w:r w:rsidRPr="00AE5AB5">
        <w:rPr>
          <w:rFonts w:ascii="Arial" w:hAnsi="Arial" w:cs="Arial"/>
          <w:b w:val="0"/>
          <w:sz w:val="20"/>
        </w:rPr>
        <w:t xml:space="preserve">lužby </w:t>
      </w:r>
      <w:r w:rsidR="002A1E54" w:rsidRPr="00AE5AB5">
        <w:rPr>
          <w:rFonts w:ascii="Arial" w:hAnsi="Arial" w:cs="Arial"/>
          <w:b w:val="0"/>
          <w:sz w:val="20"/>
        </w:rPr>
        <w:t>dle Plánu plateb.</w:t>
      </w:r>
    </w:p>
    <w:p w14:paraId="3F102540" w14:textId="77777777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50ECFEAC" w14:textId="77777777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3A800D09" w14:textId="02211D30" w:rsidR="002A1E54" w:rsidRPr="00AE5AB5" w:rsidRDefault="002A1E54" w:rsidP="007E6D97">
      <w:pPr>
        <w:pStyle w:val="Zkladntext21"/>
        <w:jc w:val="both"/>
        <w:rPr>
          <w:rFonts w:ascii="Arial" w:hAnsi="Arial" w:cs="Arial"/>
          <w:sz w:val="20"/>
        </w:rPr>
      </w:pPr>
      <w:r w:rsidRPr="00AE5AB5">
        <w:rPr>
          <w:rFonts w:ascii="Arial" w:hAnsi="Arial" w:cs="Arial"/>
          <w:sz w:val="20"/>
        </w:rPr>
        <w:t>Plán plateb:</w:t>
      </w:r>
    </w:p>
    <w:p w14:paraId="4B695C28" w14:textId="24013A56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5E27AA84" w14:textId="5DBEF2C5" w:rsidR="002A1E54" w:rsidRDefault="002A1E54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  <w:r w:rsidRPr="00AE5AB5">
        <w:rPr>
          <w:rFonts w:ascii="Arial" w:hAnsi="Arial" w:cs="Arial"/>
          <w:b w:val="0"/>
          <w:sz w:val="20"/>
        </w:rPr>
        <w:t xml:space="preserve">Fakturace za poskytování Služby </w:t>
      </w:r>
      <w:r w:rsidRPr="00AE5AB5">
        <w:rPr>
          <w:rFonts w:ascii="Arial" w:hAnsi="Arial" w:cs="Arial"/>
          <w:b w:val="0"/>
          <w:bCs/>
          <w:sz w:val="20"/>
        </w:rPr>
        <w:t>bude prováděna měsíčně zpětně poměrem z Přijaté smluvní částky (Celkové nabídkové ceny včetně DPH) následovně:</w:t>
      </w:r>
    </w:p>
    <w:p w14:paraId="396AA2B3" w14:textId="77777777" w:rsidR="00B30A21" w:rsidRPr="00AE5AB5" w:rsidRDefault="00B30A21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3503CA50" w14:textId="77777777" w:rsidR="00F171BE" w:rsidRPr="00AE5AB5" w:rsidRDefault="00F171BE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1F2246B0" w14:textId="58EDC2BD" w:rsidR="002A1E54" w:rsidRPr="00AE5AB5" w:rsidRDefault="000F00EE" w:rsidP="007E6D97">
      <w:pPr>
        <w:pStyle w:val="Zkladntext2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</w:t>
      </w:r>
      <w:r w:rsidR="002A1E54" w:rsidRPr="00AE5AB5">
        <w:rPr>
          <w:rFonts w:ascii="Arial" w:hAnsi="Arial" w:cs="Arial"/>
          <w:bCs/>
          <w:sz w:val="20"/>
        </w:rPr>
        <w:t>. etapa</w:t>
      </w:r>
    </w:p>
    <w:p w14:paraId="3A6B800C" w14:textId="5EE69293" w:rsidR="002A1E54" w:rsidRDefault="000F00EE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1. – 1</w:t>
      </w:r>
      <w:r w:rsidR="00CA4279">
        <w:rPr>
          <w:rFonts w:ascii="Arial" w:hAnsi="Arial" w:cs="Arial"/>
          <w:b w:val="0"/>
          <w:bCs/>
          <w:sz w:val="20"/>
        </w:rPr>
        <w:t>9</w:t>
      </w:r>
      <w:r w:rsidR="002A1E54" w:rsidRPr="00AE5AB5">
        <w:rPr>
          <w:rFonts w:ascii="Arial" w:hAnsi="Arial" w:cs="Arial"/>
          <w:b w:val="0"/>
          <w:bCs/>
          <w:sz w:val="20"/>
        </w:rPr>
        <w:t xml:space="preserve">. měsíc </w:t>
      </w:r>
      <w:r>
        <w:rPr>
          <w:rFonts w:ascii="Arial" w:hAnsi="Arial" w:cs="Arial"/>
          <w:b w:val="0"/>
          <w:sz w:val="20"/>
        </w:rPr>
        <w:t xml:space="preserve">poskytování Služby: </w:t>
      </w:r>
      <w:r w:rsidR="00CA4279">
        <w:rPr>
          <w:rFonts w:ascii="Arial" w:hAnsi="Arial" w:cs="Arial"/>
          <w:b w:val="0"/>
          <w:sz w:val="20"/>
        </w:rPr>
        <w:t>4,9</w:t>
      </w:r>
      <w:r w:rsidR="00F171BE">
        <w:rPr>
          <w:rFonts w:ascii="Arial" w:hAnsi="Arial" w:cs="Arial"/>
          <w:b w:val="0"/>
          <w:sz w:val="20"/>
        </w:rPr>
        <w:t xml:space="preserve"> </w:t>
      </w:r>
      <w:r w:rsidR="002A1E54" w:rsidRPr="00AE5AB5">
        <w:rPr>
          <w:rFonts w:ascii="Arial" w:hAnsi="Arial" w:cs="Arial"/>
          <w:b w:val="0"/>
          <w:sz w:val="20"/>
        </w:rPr>
        <w:t>%</w:t>
      </w:r>
      <w:r w:rsidR="002A1E54" w:rsidRPr="00AE5AB5">
        <w:rPr>
          <w:rFonts w:ascii="Arial" w:hAnsi="Arial" w:cs="Arial"/>
          <w:b w:val="0"/>
          <w:bCs/>
          <w:sz w:val="20"/>
        </w:rPr>
        <w:t xml:space="preserve"> z Přijaté smluvní částky</w:t>
      </w:r>
      <w:r w:rsidR="002A1E54" w:rsidRPr="00AE5AB5">
        <w:rPr>
          <w:rFonts w:ascii="Arial" w:hAnsi="Arial" w:cs="Arial"/>
          <w:b w:val="0"/>
          <w:sz w:val="20"/>
        </w:rPr>
        <w:t xml:space="preserve">/ 1 měsíc (celkem </w:t>
      </w:r>
      <w:r w:rsidR="00CA4279">
        <w:rPr>
          <w:rFonts w:ascii="Arial" w:hAnsi="Arial" w:cs="Arial"/>
          <w:b w:val="0"/>
          <w:sz w:val="20"/>
        </w:rPr>
        <w:t>93,1</w:t>
      </w:r>
      <w:r w:rsidR="00F171BE">
        <w:rPr>
          <w:rFonts w:ascii="Arial" w:hAnsi="Arial" w:cs="Arial"/>
          <w:b w:val="0"/>
          <w:sz w:val="20"/>
        </w:rPr>
        <w:t xml:space="preserve"> </w:t>
      </w:r>
      <w:r w:rsidR="002A1E54" w:rsidRPr="00AE5AB5">
        <w:rPr>
          <w:rFonts w:ascii="Arial" w:hAnsi="Arial" w:cs="Arial"/>
          <w:b w:val="0"/>
          <w:sz w:val="20"/>
        </w:rPr>
        <w:t xml:space="preserve">% z </w:t>
      </w:r>
      <w:r>
        <w:rPr>
          <w:rFonts w:ascii="Arial" w:hAnsi="Arial" w:cs="Arial"/>
          <w:b w:val="0"/>
          <w:bCs/>
          <w:sz w:val="20"/>
        </w:rPr>
        <w:t>Přijaté smluvní částky za I</w:t>
      </w:r>
      <w:r w:rsidR="002A1E54" w:rsidRPr="00AE5AB5">
        <w:rPr>
          <w:rFonts w:ascii="Arial" w:hAnsi="Arial" w:cs="Arial"/>
          <w:b w:val="0"/>
          <w:bCs/>
          <w:sz w:val="20"/>
        </w:rPr>
        <w:t>. etapu)</w:t>
      </w:r>
    </w:p>
    <w:p w14:paraId="4AF080CC" w14:textId="77777777" w:rsidR="00B30A21" w:rsidRPr="00AE5AB5" w:rsidRDefault="00B30A21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4051DD38" w14:textId="1FA091E6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4A50FF23" w14:textId="7DAC2104" w:rsidR="002A1E54" w:rsidRPr="00AE5AB5" w:rsidRDefault="000F00EE" w:rsidP="002A1E54">
      <w:pPr>
        <w:pStyle w:val="Zkladntext2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</w:t>
      </w:r>
      <w:r w:rsidR="002A1E54" w:rsidRPr="00AE5AB5">
        <w:rPr>
          <w:rFonts w:ascii="Arial" w:hAnsi="Arial" w:cs="Arial"/>
          <w:bCs/>
          <w:sz w:val="20"/>
        </w:rPr>
        <w:t>I. etapa</w:t>
      </w:r>
    </w:p>
    <w:p w14:paraId="2058C1ED" w14:textId="086178C4" w:rsidR="002A1E54" w:rsidRDefault="00CA4279" w:rsidP="002A1E54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20</w:t>
      </w:r>
      <w:r w:rsidR="002A1E54" w:rsidRPr="00AE5AB5">
        <w:rPr>
          <w:rFonts w:ascii="Arial" w:hAnsi="Arial" w:cs="Arial"/>
          <w:b w:val="0"/>
          <w:bCs/>
          <w:sz w:val="20"/>
        </w:rPr>
        <w:t xml:space="preserve">. měsíc </w:t>
      </w:r>
      <w:r w:rsidR="002A1E54" w:rsidRPr="00AE5AB5">
        <w:rPr>
          <w:rFonts w:ascii="Arial" w:hAnsi="Arial" w:cs="Arial"/>
          <w:b w:val="0"/>
          <w:sz w:val="20"/>
        </w:rPr>
        <w:t xml:space="preserve">poskytování Služby: </w:t>
      </w:r>
      <w:r w:rsidR="000F00EE">
        <w:rPr>
          <w:rFonts w:ascii="Arial" w:hAnsi="Arial" w:cs="Arial"/>
          <w:b w:val="0"/>
          <w:sz w:val="20"/>
        </w:rPr>
        <w:t>6</w:t>
      </w:r>
      <w:r>
        <w:rPr>
          <w:rFonts w:ascii="Arial" w:hAnsi="Arial" w:cs="Arial"/>
          <w:b w:val="0"/>
          <w:sz w:val="20"/>
        </w:rPr>
        <w:t>,9</w:t>
      </w:r>
      <w:r w:rsidR="00F171BE">
        <w:rPr>
          <w:rFonts w:ascii="Arial" w:hAnsi="Arial" w:cs="Arial"/>
          <w:b w:val="0"/>
          <w:sz w:val="20"/>
        </w:rPr>
        <w:t xml:space="preserve"> </w:t>
      </w:r>
      <w:r w:rsidR="002A1E54" w:rsidRPr="00AE5AB5">
        <w:rPr>
          <w:rFonts w:ascii="Arial" w:hAnsi="Arial" w:cs="Arial"/>
          <w:b w:val="0"/>
          <w:sz w:val="20"/>
        </w:rPr>
        <w:t>%</w:t>
      </w:r>
      <w:r w:rsidR="002A1E54" w:rsidRPr="00AE5AB5">
        <w:rPr>
          <w:rFonts w:ascii="Arial" w:hAnsi="Arial" w:cs="Arial"/>
          <w:b w:val="0"/>
          <w:bCs/>
          <w:sz w:val="20"/>
        </w:rPr>
        <w:t xml:space="preserve"> z Přijaté smluvní částky</w:t>
      </w:r>
      <w:r w:rsidR="002A1E54" w:rsidRPr="00AE5AB5">
        <w:rPr>
          <w:rFonts w:ascii="Arial" w:hAnsi="Arial" w:cs="Arial"/>
          <w:b w:val="0"/>
          <w:sz w:val="20"/>
        </w:rPr>
        <w:t xml:space="preserve">/ 1 měsíc (celkem </w:t>
      </w:r>
      <w:r>
        <w:rPr>
          <w:rFonts w:ascii="Arial" w:hAnsi="Arial" w:cs="Arial"/>
          <w:b w:val="0"/>
          <w:sz w:val="20"/>
        </w:rPr>
        <w:t>6,9</w:t>
      </w:r>
      <w:r w:rsidR="00F171BE" w:rsidRPr="00AE5AB5">
        <w:rPr>
          <w:rFonts w:ascii="Arial" w:hAnsi="Arial" w:cs="Arial"/>
          <w:b w:val="0"/>
          <w:sz w:val="20"/>
        </w:rPr>
        <w:t xml:space="preserve"> </w:t>
      </w:r>
      <w:r w:rsidR="002A1E54" w:rsidRPr="00AE5AB5">
        <w:rPr>
          <w:rFonts w:ascii="Arial" w:hAnsi="Arial" w:cs="Arial"/>
          <w:b w:val="0"/>
          <w:sz w:val="20"/>
        </w:rPr>
        <w:t xml:space="preserve">% z </w:t>
      </w:r>
      <w:r w:rsidR="002A1E54" w:rsidRPr="00AE5AB5">
        <w:rPr>
          <w:rFonts w:ascii="Arial" w:hAnsi="Arial" w:cs="Arial"/>
          <w:b w:val="0"/>
          <w:bCs/>
          <w:sz w:val="20"/>
        </w:rPr>
        <w:t>Přijaté smluvní částky za II. etapu)</w:t>
      </w:r>
    </w:p>
    <w:p w14:paraId="6E09F540" w14:textId="77777777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6155BCD6" w14:textId="704E759C" w:rsidR="002D6A58" w:rsidRDefault="002D6A58" w:rsidP="002D6A58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V případě, že dojde k posunutí zahájení poskytování služeb tak, že i nadále bude možné po zhotoviteli stavby požadovat </w:t>
      </w:r>
      <w:r w:rsidRPr="00B327B9">
        <w:rPr>
          <w:rFonts w:ascii="Arial" w:hAnsi="Arial" w:cs="Arial"/>
          <w:b w:val="0"/>
          <w:bCs/>
          <w:sz w:val="20"/>
        </w:rPr>
        <w:t>dodržení původního termínu pro její dokončení</w:t>
      </w:r>
      <w:r>
        <w:rPr>
          <w:rFonts w:ascii="Arial" w:hAnsi="Arial" w:cs="Arial"/>
          <w:b w:val="0"/>
          <w:bCs/>
          <w:sz w:val="20"/>
        </w:rPr>
        <w:t>, bude měsíční odměna v I. etapě vypočítána</w:t>
      </w:r>
      <w:r w:rsidR="00243685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tak, že číslo 98 bude vyděleno počtem měsíců poskytování služeb. Tento podíl</w:t>
      </w:r>
      <w:r w:rsidR="00243685">
        <w:rPr>
          <w:rFonts w:ascii="Arial" w:hAnsi="Arial" w:cs="Arial"/>
          <w:b w:val="0"/>
          <w:bCs/>
          <w:sz w:val="20"/>
        </w:rPr>
        <w:t xml:space="preserve"> </w:t>
      </w:r>
      <w:r w:rsidR="009C1B8D">
        <w:rPr>
          <w:rFonts w:ascii="Arial" w:hAnsi="Arial" w:cs="Arial"/>
          <w:b w:val="0"/>
          <w:bCs/>
          <w:sz w:val="20"/>
        </w:rPr>
        <w:t>zaokrouhlený</w:t>
      </w:r>
      <w:r>
        <w:rPr>
          <w:rFonts w:ascii="Arial" w:hAnsi="Arial" w:cs="Arial"/>
          <w:b w:val="0"/>
          <w:bCs/>
          <w:sz w:val="20"/>
        </w:rPr>
        <w:t xml:space="preserve"> na jedno desetinné místo pak bude definovat procento </w:t>
      </w:r>
      <w:r w:rsidRPr="00AE5AB5">
        <w:rPr>
          <w:rFonts w:ascii="Arial" w:hAnsi="Arial" w:cs="Arial"/>
          <w:b w:val="0"/>
          <w:bCs/>
          <w:sz w:val="20"/>
        </w:rPr>
        <w:t>z Přijaté smluvní částky</w:t>
      </w:r>
      <w:r w:rsidRPr="00AE5AB5">
        <w:rPr>
          <w:rFonts w:ascii="Arial" w:hAnsi="Arial" w:cs="Arial"/>
          <w:b w:val="0"/>
          <w:sz w:val="20"/>
        </w:rPr>
        <w:t>/ 1 měsíc</w:t>
      </w:r>
      <w:r>
        <w:rPr>
          <w:rFonts w:ascii="Arial" w:hAnsi="Arial" w:cs="Arial"/>
          <w:b w:val="0"/>
          <w:sz w:val="20"/>
        </w:rPr>
        <w:t xml:space="preserve"> I. etapy.</w:t>
      </w:r>
      <w:r w:rsidRPr="00AE5AB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V posledním měsíci pak bude poskytnuta taková výše odměny, aby její celková výše činila Přijatou smluvní částku. </w:t>
      </w:r>
    </w:p>
    <w:p w14:paraId="4ECC8241" w14:textId="16ADC59E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1C906F6E" w14:textId="03E4C7F6" w:rsidR="00ED6AD4" w:rsidRPr="00AE5AB5" w:rsidRDefault="007E6D97" w:rsidP="00AE5AB5">
      <w:pPr>
        <w:pStyle w:val="Zkladntext21"/>
        <w:jc w:val="both"/>
        <w:rPr>
          <w:rFonts w:ascii="Arial" w:hAnsi="Arial" w:cs="Arial"/>
          <w:b w:val="0"/>
          <w:caps/>
          <w:sz w:val="20"/>
        </w:rPr>
      </w:pPr>
      <w:r w:rsidRPr="00AE5AB5">
        <w:rPr>
          <w:rFonts w:ascii="Arial" w:hAnsi="Arial" w:cs="Arial"/>
          <w:b w:val="0"/>
          <w:sz w:val="20"/>
        </w:rPr>
        <w:t>Zálohy ne</w:t>
      </w:r>
      <w:r w:rsidR="000F00EE">
        <w:rPr>
          <w:rFonts w:ascii="Arial" w:hAnsi="Arial" w:cs="Arial"/>
          <w:b w:val="0"/>
          <w:sz w:val="20"/>
        </w:rPr>
        <w:t xml:space="preserve">budou Objednatelem poskytovány. </w:t>
      </w:r>
      <w:r w:rsidR="00A64E9A">
        <w:rPr>
          <w:rFonts w:ascii="Arial" w:hAnsi="Arial" w:cs="Arial"/>
          <w:b w:val="0"/>
          <w:sz w:val="20"/>
        </w:rPr>
        <w:t xml:space="preserve">Procentní poměry </w:t>
      </w:r>
      <w:r w:rsidR="00A64E9A" w:rsidRPr="00AE5AB5">
        <w:rPr>
          <w:rFonts w:ascii="Arial" w:hAnsi="Arial" w:cs="Arial"/>
          <w:b w:val="0"/>
          <w:bCs/>
          <w:sz w:val="20"/>
        </w:rPr>
        <w:t>z Přijaté smluvní částky</w:t>
      </w:r>
      <w:r w:rsidR="00A64E9A">
        <w:rPr>
          <w:rFonts w:ascii="Arial" w:hAnsi="Arial" w:cs="Arial"/>
          <w:b w:val="0"/>
          <w:bCs/>
          <w:sz w:val="20"/>
        </w:rPr>
        <w:t xml:space="preserve"> budou zaokrouhlovány na celé koruny. Poslední faktura bude obsahovat částku do vyčerpání </w:t>
      </w:r>
      <w:r w:rsidR="00A64E9A" w:rsidRPr="00AE5AB5">
        <w:rPr>
          <w:rFonts w:ascii="Arial" w:hAnsi="Arial" w:cs="Arial"/>
          <w:b w:val="0"/>
          <w:bCs/>
          <w:sz w:val="20"/>
        </w:rPr>
        <w:t>Přijaté smluvní částky</w:t>
      </w:r>
      <w:r w:rsidR="000F00EE">
        <w:rPr>
          <w:rFonts w:ascii="Arial" w:hAnsi="Arial" w:cs="Arial"/>
          <w:b w:val="0"/>
          <w:bCs/>
          <w:sz w:val="20"/>
        </w:rPr>
        <w:t>.</w:t>
      </w:r>
      <w:r w:rsidR="00A64E9A" w:rsidRPr="00AE5AB5">
        <w:rPr>
          <w:rFonts w:ascii="Arial" w:hAnsi="Arial" w:cs="Arial"/>
          <w:b w:val="0"/>
          <w:bCs/>
          <w:sz w:val="20"/>
        </w:rPr>
        <w:t xml:space="preserve"> </w:t>
      </w:r>
      <w:r w:rsidRPr="00AE5AB5">
        <w:rPr>
          <w:rFonts w:ascii="Arial" w:hAnsi="Arial" w:cs="Arial"/>
          <w:b w:val="0"/>
          <w:sz w:val="20"/>
        </w:rPr>
        <w:t>Smluvní strany výslovně vylučují použití § 2611 Občanského zákoníku.</w:t>
      </w:r>
      <w:r w:rsidR="00AE5AB5">
        <w:rPr>
          <w:rFonts w:ascii="Arial" w:hAnsi="Arial" w:cs="Arial"/>
          <w:b w:val="0"/>
          <w:sz w:val="20"/>
        </w:rPr>
        <w:t xml:space="preserve"> </w:t>
      </w:r>
      <w:r w:rsidR="00ED6AD4" w:rsidRPr="00AE5AB5">
        <w:rPr>
          <w:rFonts w:ascii="Arial" w:hAnsi="Arial" w:cs="Arial"/>
          <w:b w:val="0"/>
          <w:sz w:val="20"/>
        </w:rPr>
        <w:t>Faktura – daňový doklad – vystavená Konzultantem, musí obsahovat náležitosti podle zákona č. 235/2004 Sb., o dani z přidané hodnoty, ve znění pozdějších předpisů</w:t>
      </w:r>
      <w:r w:rsidR="00AE5AB5" w:rsidRPr="00AE5AB5">
        <w:rPr>
          <w:rFonts w:ascii="Arial" w:hAnsi="Arial" w:cs="Arial"/>
          <w:b w:val="0"/>
          <w:sz w:val="20"/>
        </w:rPr>
        <w:t>.</w:t>
      </w:r>
      <w:r w:rsidR="00AE5AB5">
        <w:rPr>
          <w:rFonts w:ascii="Arial" w:hAnsi="Arial" w:cs="Arial"/>
          <w:b w:val="0"/>
          <w:sz w:val="20"/>
        </w:rPr>
        <w:t xml:space="preserve"> </w:t>
      </w:r>
      <w:r w:rsidR="00ED6AD4" w:rsidRPr="00AE5AB5">
        <w:rPr>
          <w:rFonts w:ascii="Arial" w:hAnsi="Arial" w:cs="Arial"/>
          <w:b w:val="0"/>
          <w:sz w:val="20"/>
        </w:rPr>
        <w:t>Peněžitý závazek placený prostřednictvím banky je splněn odepsáním částky z účtu Objednatele.</w:t>
      </w:r>
      <w:r w:rsidR="00AE5AB5" w:rsidRPr="00AE5AB5">
        <w:rPr>
          <w:rFonts w:ascii="Arial" w:hAnsi="Arial" w:cs="Arial"/>
          <w:b w:val="0"/>
          <w:caps/>
          <w:sz w:val="20"/>
        </w:rPr>
        <w:t xml:space="preserve"> </w:t>
      </w:r>
    </w:p>
    <w:p w14:paraId="0789EECD" w14:textId="519AD609" w:rsidR="00B30A21" w:rsidRPr="00AE5AB5" w:rsidRDefault="00ED6AD4" w:rsidP="00ED6AD4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highlight w:val="green"/>
        </w:rPr>
      </w:pPr>
      <w:r w:rsidRPr="00AE5AB5">
        <w:rPr>
          <w:rFonts w:ascii="Arial" w:hAnsi="Arial" w:cs="Arial"/>
          <w:bCs/>
          <w:iCs/>
          <w:sz w:val="20"/>
          <w:szCs w:val="20"/>
        </w:rPr>
        <w:t xml:space="preserve">Datum uskutečnění zdanitelného plnění je </w:t>
      </w:r>
      <w:r w:rsidRPr="00AE5AB5">
        <w:rPr>
          <w:rFonts w:ascii="Arial" w:hAnsi="Arial" w:cs="Arial"/>
          <w:sz w:val="20"/>
          <w:szCs w:val="20"/>
        </w:rPr>
        <w:t>vždy poslední den kalendářního měsíce, za který je odměna za Služby Konzultanta účtována.</w:t>
      </w:r>
      <w:r w:rsidRPr="00AE5AB5">
        <w:rPr>
          <w:rFonts w:ascii="Arial" w:hAnsi="Arial" w:cs="Arial"/>
          <w:sz w:val="20"/>
          <w:szCs w:val="20"/>
          <w:highlight w:val="green"/>
        </w:rPr>
        <w:t xml:space="preserve"> </w:t>
      </w:r>
    </w:p>
    <w:p w14:paraId="29457D49" w14:textId="77777777" w:rsidR="00ED6AD4" w:rsidRPr="00AE5AB5" w:rsidRDefault="00ED6AD4" w:rsidP="00ED6AD4">
      <w:pPr>
        <w:pStyle w:val="Podpis-nzevspolenosti"/>
        <w:keepNext w:val="0"/>
        <w:keepLines w:val="0"/>
        <w:spacing w:after="0"/>
        <w:jc w:val="both"/>
        <w:rPr>
          <w:rFonts w:ascii="Arial" w:hAnsi="Arial" w:cs="Arial"/>
          <w:sz w:val="20"/>
        </w:rPr>
      </w:pPr>
    </w:p>
    <w:p w14:paraId="69E41C6E" w14:textId="7AF54420" w:rsidR="00ED6AD4" w:rsidRPr="00AE5AB5" w:rsidRDefault="00ED6AD4" w:rsidP="00ED6AD4">
      <w:pPr>
        <w:pStyle w:val="Podpis-nzevspolenosti"/>
        <w:keepNext w:val="0"/>
        <w:keepLines w:val="0"/>
        <w:spacing w:after="0"/>
        <w:jc w:val="both"/>
        <w:rPr>
          <w:rFonts w:ascii="Arial" w:hAnsi="Arial" w:cs="Arial"/>
          <w:caps w:val="0"/>
          <w:sz w:val="20"/>
        </w:rPr>
      </w:pPr>
      <w:r w:rsidRPr="00AE5AB5">
        <w:rPr>
          <w:rFonts w:ascii="Arial" w:hAnsi="Arial" w:cs="Arial"/>
          <w:caps w:val="0"/>
          <w:sz w:val="20"/>
        </w:rPr>
        <w:t xml:space="preserve">Úprava cen v důsledku inflace </w:t>
      </w:r>
      <w:r w:rsidR="004D28B2">
        <w:rPr>
          <w:rFonts w:ascii="Arial" w:hAnsi="Arial" w:cs="Arial"/>
          <w:caps w:val="0"/>
          <w:sz w:val="20"/>
        </w:rPr>
        <w:t>nebude prováděna.</w:t>
      </w:r>
    </w:p>
    <w:p w14:paraId="6B59817F" w14:textId="6C5415C3" w:rsidR="00ED6AD4" w:rsidRDefault="00ED6AD4" w:rsidP="00ED6AD4">
      <w:pPr>
        <w:rPr>
          <w:rFonts w:ascii="Arial" w:hAnsi="Arial" w:cs="Arial"/>
          <w:sz w:val="20"/>
          <w:szCs w:val="20"/>
        </w:rPr>
      </w:pPr>
    </w:p>
    <w:p w14:paraId="70D3C97B" w14:textId="77777777" w:rsidR="00F767DA" w:rsidRPr="00AE5AB5" w:rsidRDefault="00F767DA" w:rsidP="00ED6AD4">
      <w:pPr>
        <w:rPr>
          <w:rFonts w:ascii="Arial" w:hAnsi="Arial" w:cs="Arial"/>
          <w:sz w:val="20"/>
          <w:szCs w:val="20"/>
        </w:rPr>
      </w:pPr>
    </w:p>
    <w:p w14:paraId="1FB9B7C6" w14:textId="0A622265" w:rsidR="00AE5AB5" w:rsidRPr="00AE5AB5" w:rsidRDefault="00AE5AB5" w:rsidP="00ED6AD4">
      <w:pPr>
        <w:rPr>
          <w:rFonts w:ascii="Arial" w:hAnsi="Arial" w:cs="Arial"/>
          <w:b/>
          <w:sz w:val="20"/>
          <w:szCs w:val="20"/>
        </w:rPr>
      </w:pPr>
      <w:r w:rsidRPr="00AE5AB5">
        <w:rPr>
          <w:rFonts w:ascii="Arial" w:hAnsi="Arial" w:cs="Arial"/>
          <w:b/>
          <w:sz w:val="20"/>
          <w:szCs w:val="20"/>
        </w:rPr>
        <w:t>PŘÍPADNÉ DODATEČNÉ NEBO VÝJIMEČNÉ SLUŽBY</w:t>
      </w:r>
    </w:p>
    <w:p w14:paraId="564F225C" w14:textId="77777777" w:rsidR="00AE5AB5" w:rsidRPr="00AE5AB5" w:rsidRDefault="00AE5AB5" w:rsidP="00ED6AD4">
      <w:pPr>
        <w:rPr>
          <w:rFonts w:ascii="Arial" w:hAnsi="Arial" w:cs="Arial"/>
          <w:sz w:val="20"/>
          <w:szCs w:val="20"/>
        </w:rPr>
      </w:pPr>
    </w:p>
    <w:p w14:paraId="1ACFDB33" w14:textId="02FD6CA6" w:rsidR="00ED6AD4" w:rsidRPr="00243685" w:rsidRDefault="00ED6AD4" w:rsidP="00ED6AD4">
      <w:pPr>
        <w:jc w:val="both"/>
        <w:rPr>
          <w:rFonts w:ascii="Arial" w:hAnsi="Arial" w:cs="Arial"/>
          <w:sz w:val="20"/>
          <w:szCs w:val="20"/>
        </w:rPr>
      </w:pPr>
      <w:r w:rsidRPr="00243685">
        <w:rPr>
          <w:rFonts w:ascii="Arial" w:hAnsi="Arial" w:cs="Arial"/>
          <w:sz w:val="20"/>
          <w:szCs w:val="20"/>
        </w:rPr>
        <w:t xml:space="preserve">Hodinová sazba pro poskytování Případných dodatečných Služeb nebo Výjimečných služeb je stanovena dle </w:t>
      </w:r>
      <w:r w:rsidR="00AE5AB5" w:rsidRPr="00243685">
        <w:rPr>
          <w:rFonts w:ascii="Arial" w:hAnsi="Arial" w:cs="Arial"/>
          <w:sz w:val="20"/>
          <w:szCs w:val="20"/>
        </w:rPr>
        <w:t>tabulky níže.</w:t>
      </w:r>
    </w:p>
    <w:p w14:paraId="5E0736F3" w14:textId="77777777" w:rsidR="00ED6AD4" w:rsidRPr="00243685" w:rsidRDefault="00ED6AD4" w:rsidP="007E6D97">
      <w:pPr>
        <w:pStyle w:val="Zkladntext21"/>
        <w:rPr>
          <w:rFonts w:ascii="Arial" w:hAnsi="Arial" w:cs="Arial"/>
          <w:sz w:val="20"/>
        </w:rPr>
      </w:pPr>
    </w:p>
    <w:p w14:paraId="1F480088" w14:textId="1383DF53" w:rsidR="007E6D97" w:rsidRPr="00F9413E" w:rsidRDefault="00AE5AB5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  <w:r w:rsidRPr="00F9413E">
        <w:rPr>
          <w:rFonts w:ascii="Arial" w:hAnsi="Arial" w:cs="Arial"/>
          <w:b w:val="0"/>
          <w:sz w:val="20"/>
        </w:rPr>
        <w:t>Fakturace</w:t>
      </w:r>
      <w:r w:rsidR="007E6D97" w:rsidRPr="00F9413E">
        <w:rPr>
          <w:rFonts w:ascii="Arial" w:hAnsi="Arial" w:cs="Arial"/>
          <w:sz w:val="20"/>
        </w:rPr>
        <w:t xml:space="preserve"> </w:t>
      </w:r>
      <w:r w:rsidR="007E6D97" w:rsidRPr="00F9413E">
        <w:rPr>
          <w:rFonts w:ascii="Arial" w:hAnsi="Arial" w:cs="Arial"/>
          <w:b w:val="0"/>
          <w:bCs/>
          <w:sz w:val="20"/>
        </w:rPr>
        <w:t xml:space="preserve">bude prováděna měsíčně zpětně. Poskytované Služby (odpracovaná doba) budou oceňovány hodinovými sazbami příslušných pracovníků Konzultanta. Odpracovanou dobu a případné výdaje (pakliže na ně má dle této Smlouvy nárok) eviduje Konzultant a tato evidence, schválená Objednatelem, je podmínkou vystavení a následně i součástí každé faktury Konzultanta. </w:t>
      </w:r>
    </w:p>
    <w:p w14:paraId="3C11ED83" w14:textId="451B1C10" w:rsidR="00B30A21" w:rsidRPr="00F9413E" w:rsidRDefault="00B30A21" w:rsidP="007E6D97">
      <w:pPr>
        <w:pStyle w:val="Zkladntext21"/>
        <w:jc w:val="both"/>
        <w:rPr>
          <w:rFonts w:ascii="Arial" w:hAnsi="Arial" w:cs="Arial"/>
          <w:sz w:val="20"/>
        </w:rPr>
      </w:pPr>
    </w:p>
    <w:p w14:paraId="284930C2" w14:textId="77777777" w:rsidR="007E6D97" w:rsidRPr="00AE5AB5" w:rsidRDefault="007E6D97" w:rsidP="007E6D97">
      <w:pPr>
        <w:pStyle w:val="Zkladntext21"/>
        <w:rPr>
          <w:rFonts w:ascii="Arial" w:hAnsi="Arial" w:cs="Arial"/>
          <w:b w:val="0"/>
          <w:sz w:val="20"/>
        </w:rPr>
      </w:pPr>
    </w:p>
    <w:p w14:paraId="1AE043AB" w14:textId="1386AEE4" w:rsidR="007E6D97" w:rsidRPr="00AE5AB5" w:rsidRDefault="007E6D97" w:rsidP="007E6D97">
      <w:pPr>
        <w:pStyle w:val="Zkladntext21"/>
        <w:rPr>
          <w:rFonts w:ascii="Arial" w:hAnsi="Arial" w:cs="Arial"/>
          <w:sz w:val="20"/>
        </w:rPr>
      </w:pPr>
      <w:r w:rsidRPr="00AE5AB5">
        <w:rPr>
          <w:rFonts w:ascii="Arial" w:hAnsi="Arial" w:cs="Arial"/>
          <w:sz w:val="20"/>
        </w:rPr>
        <w:t xml:space="preserve">Způsob plateb: </w:t>
      </w:r>
    </w:p>
    <w:p w14:paraId="2890ABA6" w14:textId="1EBFEF35" w:rsidR="007E6D97" w:rsidRPr="00AE5AB5" w:rsidRDefault="007E6D97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  <w:r w:rsidRPr="00AE5AB5">
        <w:rPr>
          <w:rFonts w:ascii="Arial" w:hAnsi="Arial" w:cs="Arial"/>
          <w:b w:val="0"/>
          <w:sz w:val="20"/>
        </w:rPr>
        <w:t>Konzultant předá do 5 dnů po ukončení každého měsíce Objednateli evidenci odpracované doby</w:t>
      </w:r>
      <w:r w:rsidR="00AE5AB5" w:rsidRPr="00AE5AB5">
        <w:rPr>
          <w:rFonts w:ascii="Arial" w:hAnsi="Arial" w:cs="Arial"/>
          <w:b w:val="0"/>
          <w:sz w:val="20"/>
        </w:rPr>
        <w:t xml:space="preserve"> </w:t>
      </w:r>
      <w:r w:rsidR="00AE5AB5" w:rsidRPr="00F767DA">
        <w:rPr>
          <w:rFonts w:ascii="Arial" w:hAnsi="Arial" w:cs="Arial"/>
          <w:b w:val="0"/>
          <w:sz w:val="20"/>
        </w:rPr>
        <w:t>Případných dodatečných Služeb nebo Výjimečných služeb</w:t>
      </w:r>
      <w:r w:rsidRPr="00AE5AB5">
        <w:rPr>
          <w:rFonts w:ascii="Arial" w:hAnsi="Arial" w:cs="Arial"/>
          <w:b w:val="0"/>
          <w:sz w:val="20"/>
        </w:rPr>
        <w:t>, která obsahuje rovněž způsob výp</w:t>
      </w:r>
      <w:r w:rsidR="00AE5AB5" w:rsidRPr="00AE5AB5">
        <w:rPr>
          <w:rFonts w:ascii="Arial" w:hAnsi="Arial" w:cs="Arial"/>
          <w:b w:val="0"/>
          <w:sz w:val="20"/>
        </w:rPr>
        <w:t>očtu ceny za poskytované Služby</w:t>
      </w:r>
      <w:r w:rsidRPr="00AE5AB5">
        <w:rPr>
          <w:rFonts w:ascii="Arial" w:hAnsi="Arial" w:cs="Arial"/>
          <w:b w:val="0"/>
          <w:sz w:val="20"/>
        </w:rPr>
        <w:t>. Objednatel tuto evidenci odpracované doby bezodkladně schválí nebo vznese své připomínky. Konzultant je oprávněn vystavit fakturu – daňový doklad až po schválení evidence odpracované doby ze strany Objednatele. Objednatelem schválená evidence odpracované doby je přílohou faktury – daňového dokladu.</w:t>
      </w:r>
    </w:p>
    <w:p w14:paraId="5115BF71" w14:textId="444891E1" w:rsidR="007E6D97" w:rsidRPr="00AE5AB5" w:rsidRDefault="007E6D97" w:rsidP="007E6D97">
      <w:pPr>
        <w:pStyle w:val="Zkladntext21"/>
        <w:ind w:left="480"/>
        <w:jc w:val="both"/>
        <w:rPr>
          <w:rFonts w:ascii="Arial" w:hAnsi="Arial" w:cs="Arial"/>
          <w:b w:val="0"/>
          <w:sz w:val="20"/>
        </w:rPr>
      </w:pPr>
    </w:p>
    <w:p w14:paraId="472926F2" w14:textId="6E928A5C" w:rsidR="00C53253" w:rsidRPr="00AE5AB5" w:rsidRDefault="00C53253" w:rsidP="00C53253">
      <w:pPr>
        <w:pStyle w:val="Zkladntext21"/>
        <w:keepNext/>
        <w:jc w:val="both"/>
        <w:rPr>
          <w:rFonts w:ascii="Arial" w:hAnsi="Arial" w:cs="Arial"/>
          <w:b w:val="0"/>
          <w:sz w:val="20"/>
        </w:rPr>
      </w:pPr>
      <w:r w:rsidRPr="00AE5AB5">
        <w:rPr>
          <w:rFonts w:ascii="Arial" w:hAnsi="Arial" w:cs="Arial"/>
          <w:b w:val="0"/>
          <w:sz w:val="20"/>
        </w:rPr>
        <w:lastRenderedPageBreak/>
        <w:t xml:space="preserve">Konzultant se zavazuje poskytovat Objednateli Služby dle této Smlouvy (Dodatečné služby a Výjimečné služby </w:t>
      </w:r>
      <w:r w:rsidRPr="00AE5AB5">
        <w:rPr>
          <w:rFonts w:ascii="Arial" w:hAnsi="Arial" w:cs="Arial"/>
          <w:b w:val="0"/>
          <w:bCs/>
          <w:sz w:val="20"/>
        </w:rPr>
        <w:t xml:space="preserve">dle článku 5.1.2 </w:t>
      </w:r>
      <w:r w:rsidRPr="00AE5AB5">
        <w:rPr>
          <w:rFonts w:ascii="Arial" w:hAnsi="Arial" w:cs="Arial"/>
          <w:b w:val="0"/>
          <w:sz w:val="20"/>
        </w:rPr>
        <w:t xml:space="preserve">Obecných podmínek) za níže uvedené </w:t>
      </w:r>
      <w:r w:rsidRPr="00AE5AB5">
        <w:rPr>
          <w:rFonts w:ascii="Arial" w:hAnsi="Arial" w:cs="Arial"/>
          <w:sz w:val="20"/>
        </w:rPr>
        <w:t>hodinové sazby</w:t>
      </w:r>
      <w:r w:rsidRPr="00AE5AB5">
        <w:rPr>
          <w:rFonts w:ascii="Arial" w:hAnsi="Arial" w:cs="Arial"/>
          <w:b w:val="0"/>
          <w:sz w:val="20"/>
        </w:rPr>
        <w:t xml:space="preserve"> jednotlivých pracovníků Konzultanta.</w:t>
      </w:r>
      <w:r w:rsidRPr="00AE5AB5">
        <w:rPr>
          <w:rFonts w:ascii="Arial" w:hAnsi="Arial" w:cs="Arial"/>
          <w:sz w:val="20"/>
        </w:rPr>
        <w:t xml:space="preserve"> </w:t>
      </w:r>
    </w:p>
    <w:p w14:paraId="10C7E6D0" w14:textId="06D2E52F" w:rsidR="00C53253" w:rsidRPr="00AE5AB5" w:rsidRDefault="00C53253" w:rsidP="00C53253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5FEE6552" w14:textId="436896B7" w:rsidR="00C53253" w:rsidRPr="00AE5AB5" w:rsidRDefault="00C53253" w:rsidP="00C53253">
      <w:pPr>
        <w:pStyle w:val="Zkladntext21"/>
        <w:jc w:val="both"/>
        <w:rPr>
          <w:rFonts w:ascii="Arial" w:hAnsi="Arial" w:cs="Arial"/>
          <w:b w:val="0"/>
          <w:sz w:val="20"/>
        </w:rPr>
      </w:pPr>
      <w:r w:rsidRPr="00AE5AB5">
        <w:rPr>
          <w:rFonts w:ascii="Arial" w:hAnsi="Arial" w:cs="Arial"/>
          <w:b w:val="0"/>
          <w:sz w:val="20"/>
        </w:rPr>
        <w:t xml:space="preserve">Předpokládaný počet hodin odhadovaného rozsahu </w:t>
      </w:r>
      <w:r w:rsidR="00F767DA" w:rsidRPr="00F767DA">
        <w:rPr>
          <w:rFonts w:ascii="Arial" w:hAnsi="Arial" w:cs="Arial"/>
          <w:b w:val="0"/>
          <w:sz w:val="20"/>
        </w:rPr>
        <w:t>Případných dodatečných Služeb nebo Výjimečných služeb</w:t>
      </w:r>
      <w:r w:rsidRPr="00AE5AB5">
        <w:rPr>
          <w:rFonts w:ascii="Arial" w:hAnsi="Arial" w:cs="Arial"/>
          <w:b w:val="0"/>
          <w:sz w:val="20"/>
        </w:rPr>
        <w:t xml:space="preserve"> je stanoven pouze pro potřeby výpočtu nabídkové ceny v rámci zadávacího řízení. Smluvní strany berou na vědomí a souhlasí s tím, že Objednatel bude Konzultantovi hradit cenu za poskytované Služby pouze dle skutečného počtu odpracovaných </w:t>
      </w:r>
      <w:r w:rsidR="00AE5AB5" w:rsidRPr="00AE5AB5">
        <w:rPr>
          <w:rFonts w:ascii="Arial" w:hAnsi="Arial" w:cs="Arial"/>
          <w:b w:val="0"/>
          <w:sz w:val="20"/>
        </w:rPr>
        <w:t>hodin</w:t>
      </w:r>
      <w:r w:rsidRPr="00AE5AB5">
        <w:rPr>
          <w:rFonts w:ascii="Arial" w:hAnsi="Arial" w:cs="Arial"/>
          <w:b w:val="0"/>
          <w:sz w:val="20"/>
        </w:rPr>
        <w:t xml:space="preserve">, a to na základě </w:t>
      </w:r>
      <w:r w:rsidRPr="00AE5AB5">
        <w:rPr>
          <w:rFonts w:ascii="Arial" w:hAnsi="Arial" w:cs="Arial"/>
          <w:sz w:val="20"/>
        </w:rPr>
        <w:t>hodinových sazeb</w:t>
      </w:r>
      <w:r w:rsidRPr="00AE5AB5">
        <w:rPr>
          <w:rFonts w:ascii="Arial" w:hAnsi="Arial" w:cs="Arial"/>
          <w:b w:val="0"/>
          <w:sz w:val="20"/>
        </w:rPr>
        <w:t xml:space="preserve"> jednotlivých pracovníků Konzultanta, uvedených níže, a v souladu se Smlouvou. Smluvní strany dále berou na vědomí a souhlasí s tím, že rozdíl mezi odhadovaným a skutečným rozsahem Služeb nemá žádný vliv na výši hodinových sazeb jednotlivých pracovníků Konzultanta. </w:t>
      </w:r>
    </w:p>
    <w:p w14:paraId="57B1D7A0" w14:textId="1E6AB569" w:rsidR="00C53253" w:rsidRPr="00AE5AB5" w:rsidRDefault="00C53253" w:rsidP="00C53253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5CA9F0FC" w14:textId="7C1A23F3" w:rsidR="00C53253" w:rsidRPr="00AE5AB5" w:rsidRDefault="00C53253" w:rsidP="00F767DA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  <w14:ligatures w14:val="all"/>
        </w:rPr>
      </w:pPr>
      <w:r w:rsidRPr="00AE5AB5">
        <w:rPr>
          <w:rFonts w:ascii="Arial" w:hAnsi="Arial" w:cs="Arial"/>
          <w:sz w:val="20"/>
          <w:szCs w:val="20"/>
        </w:rPr>
        <w:t xml:space="preserve">Hodinové sazby </w:t>
      </w:r>
      <w:r w:rsidR="00AE5AB5" w:rsidRPr="00AE5AB5">
        <w:rPr>
          <w:rFonts w:ascii="Arial" w:hAnsi="Arial" w:cs="Arial"/>
          <w:sz w:val="20"/>
          <w:szCs w:val="20"/>
          <w14:ligatures w14:val="all"/>
        </w:rPr>
        <w:t xml:space="preserve">za </w:t>
      </w:r>
      <w:r w:rsidR="00AE5AB5" w:rsidRPr="00AE5AB5">
        <w:rPr>
          <w:rFonts w:ascii="Arial" w:hAnsi="Arial" w:cs="Arial"/>
          <w:sz w:val="20"/>
          <w:szCs w:val="20"/>
        </w:rPr>
        <w:t xml:space="preserve">Případné dodatečné Služby nebo Výjimečné služby </w:t>
      </w:r>
      <w:r w:rsidRPr="00AE5AB5">
        <w:rPr>
          <w:rFonts w:ascii="Arial" w:hAnsi="Arial" w:cs="Arial"/>
          <w:sz w:val="20"/>
          <w:szCs w:val="20"/>
        </w:rPr>
        <w:t>jednotlivých pracovníků Konzultanta určené dle Smlouvy</w:t>
      </w:r>
      <w:r w:rsidR="00AE5AB5" w:rsidRPr="00AE5AB5">
        <w:rPr>
          <w:rFonts w:ascii="Arial" w:hAnsi="Arial" w:cs="Arial"/>
          <w:b/>
          <w:sz w:val="20"/>
          <w:szCs w:val="20"/>
        </w:rPr>
        <w:t xml:space="preserve"> </w:t>
      </w:r>
      <w:r w:rsidR="00AE5AB5" w:rsidRPr="00F767DA">
        <w:rPr>
          <w:rFonts w:ascii="Arial" w:hAnsi="Arial" w:cs="Arial"/>
          <w:sz w:val="20"/>
          <w:szCs w:val="20"/>
        </w:rPr>
        <w:t>včetně DPH</w:t>
      </w:r>
      <w:r w:rsidRPr="00AE5AB5">
        <w:rPr>
          <w:rFonts w:ascii="Arial" w:hAnsi="Arial" w:cs="Arial"/>
          <w:sz w:val="20"/>
          <w:szCs w:val="20"/>
        </w:rPr>
        <w:t xml:space="preserve">, jsou závazné po celou dobu plnění Smlouvy </w:t>
      </w:r>
      <w:r w:rsidRPr="00AE5AB5">
        <w:rPr>
          <w:rFonts w:ascii="Arial" w:hAnsi="Arial" w:cs="Arial"/>
          <w:bCs/>
          <w:sz w:val="20"/>
          <w:szCs w:val="20"/>
        </w:rPr>
        <w:t xml:space="preserve">a pokrývají všechny smluvní závazky a všechny záležitosti a věci nezbytné k řádnému poskytnutí Služeb podle Smlouvy, vyjma čistých nákladů všech ostatních výdajů na Výjimečné služby dle článku 5.1.2 písm. b) </w:t>
      </w:r>
      <w:r w:rsidRPr="00AE5AB5">
        <w:rPr>
          <w:rFonts w:ascii="Arial" w:hAnsi="Arial" w:cs="Arial"/>
          <w:sz w:val="20"/>
          <w:szCs w:val="20"/>
        </w:rPr>
        <w:t xml:space="preserve">Obecných podmínek. Konzultant tak není oprávněn požadovat samostatně ani úhradu nákladů za čas strávený dopravou na místo plnění, neboť tyto náklady jsou již zahrnuty v hodinových sazbách. </w:t>
      </w:r>
    </w:p>
    <w:p w14:paraId="7E8EE7E8" w14:textId="77777777" w:rsidR="00C53253" w:rsidRPr="00C53253" w:rsidRDefault="00C53253" w:rsidP="00C53253">
      <w:pPr>
        <w:pStyle w:val="Zkladntext21"/>
        <w:jc w:val="both"/>
        <w:rPr>
          <w:rFonts w:ascii="Arial" w:hAnsi="Arial" w:cs="Arial"/>
          <w:b w:val="0"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0"/>
        <w:gridCol w:w="1136"/>
        <w:gridCol w:w="1574"/>
        <w:gridCol w:w="1524"/>
        <w:gridCol w:w="1561"/>
        <w:gridCol w:w="1627"/>
      </w:tblGrid>
      <w:tr w:rsidR="009126E7" w:rsidRPr="00D20C6B" w14:paraId="4CB0EF38" w14:textId="77777777" w:rsidTr="009126E7">
        <w:trPr>
          <w:trHeight w:val="1113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E9834B" w14:textId="2065D407" w:rsidR="009126E7" w:rsidRPr="00DD0354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354">
              <w:rPr>
                <w:rFonts w:ascii="Arial" w:hAnsi="Arial" w:cs="Arial"/>
                <w:b/>
                <w:sz w:val="20"/>
                <w:szCs w:val="20"/>
              </w:rPr>
              <w:t>Služba - funkce</w:t>
            </w:r>
          </w:p>
        </w:tc>
        <w:tc>
          <w:tcPr>
            <w:tcW w:w="61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568B65F" w14:textId="74DB903A" w:rsidR="009126E7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 KČ </w:t>
            </w:r>
            <w:r w:rsidRPr="00D1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včetně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DPH/</w:t>
            </w:r>
          </w:p>
          <w:p w14:paraId="2AA6CFED" w14:textId="2638FD61" w:rsidR="009126E7" w:rsidRPr="00D20C6B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hodina</w:t>
            </w:r>
          </w:p>
        </w:tc>
        <w:tc>
          <w:tcPr>
            <w:tcW w:w="85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D5EACAA" w14:textId="7571ACB1" w:rsidR="009126E7" w:rsidRPr="00D20C6B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jednotek</w:t>
            </w: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 dobu poskytování služeb</w:t>
            </w:r>
          </w:p>
        </w:tc>
        <w:tc>
          <w:tcPr>
            <w:tcW w:w="82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12B620" w14:textId="77777777" w:rsidR="009126E7" w:rsidRPr="00D20C6B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t>Cena v Kč</w:t>
            </w:r>
          </w:p>
          <w:p w14:paraId="7CE19E39" w14:textId="77777777" w:rsidR="009126E7" w:rsidRPr="00D20C6B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84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5BF368DD" w14:textId="77777777" w:rsidR="009126E7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F323B9" w14:textId="77777777" w:rsidR="009126E7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  <w:p w14:paraId="08EF011E" w14:textId="77777777" w:rsidR="009126E7" w:rsidRPr="009126E7" w:rsidRDefault="009126E7" w:rsidP="009126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9126E7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Výše sazby</w:t>
            </w:r>
          </w:p>
          <w:p w14:paraId="2D52A572" w14:textId="540A7F6A" w:rsidR="009126E7" w:rsidRPr="00D11726" w:rsidRDefault="009126E7" w:rsidP="009126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6E7">
              <w:rPr>
                <w:rFonts w:ascii="Calibri" w:hAnsi="Calibri"/>
                <w:sz w:val="22"/>
                <w:szCs w:val="22"/>
                <w:highlight w:val="yellow"/>
              </w:rPr>
              <w:t>[</w:t>
            </w:r>
            <w:r w:rsidRPr="009126E7">
              <w:rPr>
                <w:rFonts w:ascii="Calibri" w:hAnsi="Calibri"/>
                <w:sz w:val="22"/>
                <w:szCs w:val="22"/>
                <w:highlight w:val="yellow"/>
                <w:shd w:val="clear" w:color="auto" w:fill="00FFFF"/>
              </w:rPr>
              <w:t>bude doplněno</w:t>
            </w:r>
            <w:r w:rsidRPr="009126E7">
              <w:rPr>
                <w:rFonts w:ascii="Calibri" w:hAnsi="Calibr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27B4CBA" w14:textId="47C36050" w:rsidR="009126E7" w:rsidRPr="00D20C6B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 KČ </w:t>
            </w:r>
            <w:r w:rsidRPr="00D1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včetně</w:t>
            </w: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</w:t>
            </w:r>
          </w:p>
        </w:tc>
      </w:tr>
      <w:tr w:rsidR="009126E7" w:rsidRPr="006A55FE" w14:paraId="76360C23" w14:textId="77777777" w:rsidTr="009126E7">
        <w:trPr>
          <w:trHeight w:val="1467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9247" w14:textId="63E31C92" w:rsidR="009126E7" w:rsidRPr="00B63624" w:rsidRDefault="009126E7" w:rsidP="009126E7">
            <w:pPr>
              <w:pStyle w:val="C1"/>
              <w:jc w:val="left"/>
              <w:rPr>
                <w:sz w:val="20"/>
                <w:szCs w:val="20"/>
              </w:rPr>
            </w:pPr>
            <w:r w:rsidRPr="00B63624">
              <w:rPr>
                <w:sz w:val="20"/>
                <w:szCs w:val="20"/>
              </w:rPr>
              <w:t>Správce stavby</w:t>
            </w:r>
          </w:p>
          <w:p w14:paraId="1ACC018E" w14:textId="1F64695F" w:rsidR="009126E7" w:rsidRPr="00B63624" w:rsidRDefault="009126E7" w:rsidP="009126E7">
            <w:pPr>
              <w:pStyle w:val="C1"/>
              <w:jc w:val="left"/>
              <w:rPr>
                <w:sz w:val="20"/>
                <w:szCs w:val="20"/>
              </w:rPr>
            </w:pPr>
            <w:r w:rsidRPr="00B63624">
              <w:rPr>
                <w:sz w:val="20"/>
                <w:szCs w:val="20"/>
              </w:rPr>
              <w:t>(Koordinátor týmu Správce stavby)</w:t>
            </w:r>
          </w:p>
          <w:p w14:paraId="34E37E92" w14:textId="77777777" w:rsidR="009126E7" w:rsidRPr="00B63624" w:rsidRDefault="009126E7" w:rsidP="009126E7">
            <w:pPr>
              <w:pStyle w:val="text"/>
              <w:tabs>
                <w:tab w:val="right" w:leader="dot" w:pos="5102"/>
              </w:tabs>
              <w:jc w:val="left"/>
              <w:rPr>
                <w:rFonts w:ascii="Arial" w:hAnsi="Arial" w:cs="Arial"/>
                <w:szCs w:val="20"/>
              </w:rPr>
            </w:pPr>
          </w:p>
          <w:p w14:paraId="3AD623C4" w14:textId="18E437C0" w:rsidR="009126E7" w:rsidRPr="00B63624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sz w:val="20"/>
                <w:szCs w:val="20"/>
                <w14:ligatures w14:val="al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D032861" w14:textId="77777777" w:rsidR="009126E7" w:rsidRPr="00D83C25" w:rsidRDefault="009126E7" w:rsidP="009126E7">
            <w:pPr>
              <w:spacing w:before="120" w:after="120"/>
              <w:rPr>
                <w:rFonts w:ascii="Arial" w:hAnsi="Arial" w:cs="Arial"/>
                <w:b/>
                <w:bCs/>
                <w:caps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14:paraId="4426E9AC" w14:textId="5C8387F2" w:rsidR="009126E7" w:rsidRPr="00D83C25" w:rsidRDefault="009126E7" w:rsidP="009126E7">
            <w:pPr>
              <w:spacing w:before="120" w:after="120"/>
              <w:rPr>
                <w:rFonts w:ascii="Arial" w:hAnsi="Arial" w:cs="Arial"/>
                <w:b/>
                <w:bCs/>
                <w:caps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3DF52AA" w14:textId="77777777" w:rsidR="009126E7" w:rsidRPr="003B7AB5" w:rsidRDefault="009126E7" w:rsidP="00B30A21">
            <w:pPr>
              <w:spacing w:before="120" w:after="120"/>
              <w:ind w:hanging="274"/>
              <w:jc w:val="center"/>
              <w:rPr>
                <w:rFonts w:ascii="Arial" w:hAnsi="Arial" w:cs="Arial"/>
                <w:b/>
                <w:bCs/>
                <w:caps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81152B9" w14:textId="77777777" w:rsidR="009126E7" w:rsidRPr="003B7AB5" w:rsidRDefault="009126E7" w:rsidP="00DD03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Cs w:val="20"/>
                <w:highlight w:val="yellow"/>
                <w:u w:val="single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B32E294" w14:textId="56A1CBB9" w:rsidR="009126E7" w:rsidRPr="003B7AB5" w:rsidRDefault="009126E7" w:rsidP="00DD03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Cs w:val="20"/>
                <w:highlight w:val="yellow"/>
                <w:u w:val="single"/>
              </w:rPr>
            </w:pPr>
          </w:p>
        </w:tc>
      </w:tr>
      <w:tr w:rsidR="009126E7" w:rsidRPr="006A55FE" w14:paraId="6400591A" w14:textId="77777777" w:rsidTr="009126E7">
        <w:trPr>
          <w:trHeight w:val="1193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7A7B" w14:textId="154CCBB1" w:rsidR="009126E7" w:rsidRDefault="009126E7" w:rsidP="000F00EE">
            <w:pPr>
              <w:pStyle w:val="text"/>
              <w:tabs>
                <w:tab w:val="right" w:leader="dot" w:pos="5102"/>
              </w:tabs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Technický </w:t>
            </w:r>
            <w:r w:rsidRPr="00C53253">
              <w:rPr>
                <w:rFonts w:ascii="Arial" w:hAnsi="Arial" w:cs="Arial"/>
                <w:szCs w:val="20"/>
              </w:rPr>
              <w:t>dozor stavebníka</w:t>
            </w:r>
          </w:p>
          <w:p w14:paraId="54BE78C4" w14:textId="2A2BE8B9" w:rsidR="009126E7" w:rsidRDefault="009126E7" w:rsidP="00DD0354">
            <w:pPr>
              <w:pStyle w:val="text"/>
              <w:tabs>
                <w:tab w:val="right" w:leader="dot" w:pos="5102"/>
              </w:tabs>
              <w:rPr>
                <w:rFonts w:ascii="Arial" w:hAnsi="Arial" w:cs="Arial"/>
                <w:szCs w:val="20"/>
              </w:rPr>
            </w:pPr>
          </w:p>
          <w:p w14:paraId="6681E360" w14:textId="7BB37FD8" w:rsidR="009126E7" w:rsidRPr="00D20C6B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sz w:val="20"/>
                <w:szCs w:val="20"/>
                <w14:ligatures w14:val="al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EFFB620" w14:textId="77777777" w:rsidR="009126E7" w:rsidRDefault="009126E7" w:rsidP="00DD0354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2FAA50C" w14:textId="77777777" w:rsidR="009126E7" w:rsidRDefault="009126E7" w:rsidP="00DD0354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4CA066C" w14:textId="77777777" w:rsidR="009126E7" w:rsidRPr="00D83C25" w:rsidRDefault="009126E7" w:rsidP="00DD0354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14:paraId="64BCD3DA" w14:textId="77777777" w:rsidR="009126E7" w:rsidRDefault="009126E7" w:rsidP="009126E7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</w:p>
          <w:p w14:paraId="3B18519D" w14:textId="77777777" w:rsidR="009126E7" w:rsidRDefault="009126E7" w:rsidP="009126E7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</w:p>
          <w:p w14:paraId="1FFCBCC8" w14:textId="11A93E5C" w:rsidR="009126E7" w:rsidRPr="00D83C25" w:rsidRDefault="009126E7" w:rsidP="009126E7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3DE31581" w14:textId="77777777" w:rsidR="009126E7" w:rsidRPr="003B7AB5" w:rsidRDefault="009126E7" w:rsidP="00DD0354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86E8D4F" w14:textId="77777777" w:rsidR="009126E7" w:rsidRPr="003B7AB5" w:rsidRDefault="009126E7" w:rsidP="00DD0354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56A9EB6" w14:textId="6B9F46DD" w:rsidR="009126E7" w:rsidRPr="003B7AB5" w:rsidRDefault="009126E7" w:rsidP="00DD0354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</w:tr>
      <w:tr w:rsidR="009126E7" w:rsidRPr="006A55FE" w:rsidDel="008A763C" w14:paraId="2013A494" w14:textId="77777777" w:rsidTr="009126E7">
        <w:trPr>
          <w:trHeight w:val="400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9483" w14:textId="449CBE31" w:rsidR="009126E7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3253">
              <w:rPr>
                <w:rFonts w:ascii="Arial" w:hAnsi="Arial" w:cs="Arial"/>
                <w:sz w:val="20"/>
                <w:szCs w:val="20"/>
              </w:rPr>
              <w:t>Technik prostředí staveb – specializace technická zařízení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vytápění a vzduchotechnika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88CD792" w14:textId="77777777" w:rsidR="009126E7" w:rsidRPr="00D83C25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14:paraId="27A33A09" w14:textId="464823A9" w:rsidR="009126E7" w:rsidRPr="00D83C25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3BF639F2" w14:textId="77777777" w:rsidR="009126E7" w:rsidRPr="0048354F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1A8708E" w14:textId="77777777" w:rsidR="009126E7" w:rsidRPr="0048354F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1EDA27" w14:textId="243007D0" w:rsidR="009126E7" w:rsidRPr="0048354F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</w:tr>
      <w:tr w:rsidR="009126E7" w:rsidRPr="006A55FE" w:rsidDel="008A763C" w14:paraId="30F70B53" w14:textId="77777777" w:rsidTr="009126E7">
        <w:trPr>
          <w:trHeight w:val="1457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C954" w14:textId="77777777" w:rsidR="009126E7" w:rsidRDefault="009126E7" w:rsidP="00DD0354">
            <w:pPr>
              <w:tabs>
                <w:tab w:val="left" w:pos="1134"/>
              </w:tabs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normálních služeb</w:t>
            </w:r>
          </w:p>
          <w:p w14:paraId="25FF24DF" w14:textId="46653BC4" w:rsidR="009126E7" w:rsidRPr="009126E7" w:rsidRDefault="009126E7" w:rsidP="00DD0354">
            <w:pPr>
              <w:tabs>
                <w:tab w:val="left" w:pos="1134"/>
              </w:tabs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4CFCA7B" w14:textId="77777777" w:rsidR="009126E7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  <w:p w14:paraId="029785D0" w14:textId="77777777" w:rsidR="009126E7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  <w:p w14:paraId="09F527BA" w14:textId="77777777" w:rsidR="009126E7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  <w:p w14:paraId="48363F9A" w14:textId="77777777" w:rsidR="009126E7" w:rsidRPr="00D83C25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14:paraId="6432C073" w14:textId="77777777" w:rsidR="009126E7" w:rsidRPr="00D83C25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0A0DDCE3" w14:textId="77777777" w:rsidR="009126E7" w:rsidRPr="0048354F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2BD2D37" w14:textId="77777777" w:rsidR="009126E7" w:rsidRPr="0048354F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0DFB386" w14:textId="15F2E80E" w:rsidR="009126E7" w:rsidRPr="0048354F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</w:tr>
      <w:tr w:rsidR="009126E7" w:rsidRPr="006A55FE" w14:paraId="686568CE" w14:textId="77777777" w:rsidTr="009126E7">
        <w:trPr>
          <w:trHeight w:val="400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5D13F" w14:textId="77777777" w:rsidR="009126E7" w:rsidRDefault="009126E7" w:rsidP="00B30A21">
            <w:pPr>
              <w:pStyle w:val="Zkladntextodsazen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413E">
              <w:rPr>
                <w:rFonts w:ascii="Arial" w:hAnsi="Arial" w:cs="Arial"/>
                <w:sz w:val="20"/>
                <w:szCs w:val="20"/>
                <w14:ligatures w14:val="all"/>
              </w:rPr>
              <w:t xml:space="preserve">Hodinová sazba Správce stavby za </w:t>
            </w:r>
            <w:r w:rsidRPr="00F9413E">
              <w:rPr>
                <w:rFonts w:ascii="Arial" w:hAnsi="Arial" w:cs="Arial"/>
                <w:sz w:val="20"/>
                <w:szCs w:val="20"/>
              </w:rPr>
              <w:t xml:space="preserve">Případné dodatečné Služby nebo Výjimečné služby </w:t>
            </w:r>
          </w:p>
          <w:p w14:paraId="6059051F" w14:textId="4C394055" w:rsidR="009126E7" w:rsidRPr="009126E7" w:rsidRDefault="009126E7" w:rsidP="00B30A21">
            <w:pPr>
              <w:pStyle w:val="Zkladntextodsazen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879068B" w14:textId="77777777" w:rsidR="009126E7" w:rsidRPr="00F9413E" w:rsidRDefault="009126E7" w:rsidP="005C3D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62F3B" w14:textId="317B66CF" w:rsidR="009126E7" w:rsidRDefault="009126E7" w:rsidP="005C3D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661EF" w14:textId="514ECC97" w:rsidR="009126E7" w:rsidRPr="00F9413E" w:rsidRDefault="009126E7" w:rsidP="005C3D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hod.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587E857" w14:textId="77777777" w:rsidR="009126E7" w:rsidRPr="00F9413E" w:rsidRDefault="009126E7" w:rsidP="005C3D2D">
            <w:pPr>
              <w:spacing w:before="120" w:after="120"/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46617F8" w14:textId="77777777" w:rsidR="009126E7" w:rsidRPr="00F9413E" w:rsidRDefault="009126E7" w:rsidP="005C3D2D">
            <w:pPr>
              <w:spacing w:before="120" w:after="120"/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DE1AC5E" w14:textId="4E7C5F70" w:rsidR="009126E7" w:rsidRPr="00F9413E" w:rsidRDefault="009126E7" w:rsidP="005C3D2D">
            <w:pPr>
              <w:spacing w:before="120" w:after="120"/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</w:tr>
      <w:tr w:rsidR="009126E7" w:rsidRPr="006A55FE" w14:paraId="17D468C7" w14:textId="77777777" w:rsidTr="009126E7">
        <w:trPr>
          <w:trHeight w:val="400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5729F8C" w14:textId="34B2BB73" w:rsidR="009126E7" w:rsidRPr="00F9413E" w:rsidRDefault="009126E7" w:rsidP="009126E7">
            <w:pPr>
              <w:pStyle w:val="Zkladntextodsazen3"/>
              <w:spacing w:before="120"/>
              <w:ind w:left="0"/>
              <w:rPr>
                <w:rFonts w:ascii="Arial" w:hAnsi="Arial" w:cs="Arial"/>
                <w:sz w:val="20"/>
                <w:szCs w:val="20"/>
                <w14:ligatures w14:val="all"/>
              </w:rPr>
            </w:pPr>
            <w:r w:rsidRPr="00F9413E">
              <w:rPr>
                <w:rFonts w:ascii="Arial" w:hAnsi="Arial" w:cs="Arial"/>
                <w:sz w:val="20"/>
                <w:szCs w:val="20"/>
                <w14:ligatures w14:val="all"/>
              </w:rPr>
              <w:lastRenderedPageBreak/>
              <w:t xml:space="preserve">Hodinová sazba ostatních členů týmu za </w:t>
            </w:r>
            <w:r w:rsidRPr="00F9413E">
              <w:rPr>
                <w:rFonts w:ascii="Arial" w:hAnsi="Arial" w:cs="Arial"/>
                <w:sz w:val="20"/>
                <w:szCs w:val="20"/>
              </w:rPr>
              <w:t xml:space="preserve">Případné dodatečné Služby nebo Výjimečné služby 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6A68086E" w14:textId="77777777" w:rsidR="009126E7" w:rsidRPr="00F9413E" w:rsidRDefault="009126E7" w:rsidP="005C3D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70B94BF" w14:textId="6623D549" w:rsidR="009126E7" w:rsidRDefault="009126E7" w:rsidP="005C3D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F893C" w14:textId="6605F8FE" w:rsidR="009126E7" w:rsidRPr="00F9413E" w:rsidRDefault="009126E7" w:rsidP="005C3D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hod.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vAlign w:val="center"/>
          </w:tcPr>
          <w:p w14:paraId="1120B8AA" w14:textId="77777777" w:rsidR="009126E7" w:rsidRPr="00F9413E" w:rsidRDefault="009126E7" w:rsidP="005C3D2D">
            <w:pPr>
              <w:spacing w:before="120" w:after="120"/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6EACD0A8" w14:textId="77777777" w:rsidR="009126E7" w:rsidRPr="00F9413E" w:rsidRDefault="009126E7" w:rsidP="005C3D2D">
            <w:pPr>
              <w:spacing w:before="120" w:after="120"/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vAlign w:val="center"/>
          </w:tcPr>
          <w:p w14:paraId="038F92F7" w14:textId="2BB23520" w:rsidR="009126E7" w:rsidRPr="00F9413E" w:rsidRDefault="009126E7" w:rsidP="005C3D2D">
            <w:pPr>
              <w:spacing w:before="120" w:after="120"/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</w:tr>
      <w:tr w:rsidR="009126E7" w:rsidRPr="006A55FE" w14:paraId="68A8586F" w14:textId="77777777" w:rsidTr="009126E7">
        <w:trPr>
          <w:trHeight w:val="592"/>
        </w:trPr>
        <w:tc>
          <w:tcPr>
            <w:tcW w:w="972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1970E" w14:textId="77777777" w:rsidR="009126E7" w:rsidRPr="00F9413E" w:rsidRDefault="009126E7" w:rsidP="00B30A2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CAD1C" w14:textId="778D9827" w:rsidR="009126E7" w:rsidRPr="00F9413E" w:rsidRDefault="009126E7" w:rsidP="00B30A2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9413E">
              <w:rPr>
                <w:rFonts w:ascii="Arial" w:hAnsi="Arial" w:cs="Arial"/>
                <w:b/>
                <w:sz w:val="20"/>
                <w:szCs w:val="20"/>
              </w:rPr>
              <w:t>Přijatá smluvní částka (Celková nabídková cena)</w:t>
            </w:r>
          </w:p>
          <w:p w14:paraId="4AC46AEA" w14:textId="018CB744" w:rsidR="009126E7" w:rsidRPr="00F9413E" w:rsidRDefault="009126E7" w:rsidP="00F941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3497927" w14:textId="77777777" w:rsidR="009126E7" w:rsidRPr="00F9413E" w:rsidRDefault="009126E7" w:rsidP="005C3D2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4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14:paraId="6C467DEE" w14:textId="34184CDD" w:rsidR="009126E7" w:rsidRPr="00F9413E" w:rsidRDefault="009126E7" w:rsidP="005C3D2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759F504" w14:textId="77777777" w:rsidR="009126E7" w:rsidRPr="00F9413E" w:rsidRDefault="009126E7" w:rsidP="005C3D2D">
            <w:pPr>
              <w:spacing w:before="120" w:after="120"/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79FD33" w14:textId="77777777" w:rsidR="009126E7" w:rsidRPr="003B7AB5" w:rsidRDefault="009126E7" w:rsidP="005C3D2D">
            <w:pPr>
              <w:spacing w:before="120" w:after="120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883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B6F11CF" w14:textId="76CDBA88" w:rsidR="009126E7" w:rsidRPr="003B7AB5" w:rsidRDefault="009126E7" w:rsidP="005C3D2D">
            <w:pPr>
              <w:spacing w:before="120" w:after="120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</w:tr>
    </w:tbl>
    <w:p w14:paraId="21351A4B" w14:textId="77777777" w:rsidR="00DD0354" w:rsidRPr="00C53253" w:rsidRDefault="00DD0354" w:rsidP="007E6D97">
      <w:pPr>
        <w:rPr>
          <w:rFonts w:ascii="Arial" w:hAnsi="Arial" w:cs="Arial"/>
          <w:sz w:val="20"/>
          <w:szCs w:val="20"/>
        </w:rPr>
      </w:pPr>
    </w:p>
    <w:sectPr w:rsidR="00DD0354" w:rsidRPr="00C532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85712" w14:textId="77777777" w:rsidR="005008BD" w:rsidRDefault="005008BD" w:rsidP="00A32E87">
      <w:r>
        <w:separator/>
      </w:r>
    </w:p>
  </w:endnote>
  <w:endnote w:type="continuationSeparator" w:id="0">
    <w:p w14:paraId="63A17443" w14:textId="77777777" w:rsidR="005008BD" w:rsidRDefault="005008BD" w:rsidP="00A3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420C" w14:textId="77777777" w:rsidR="005008BD" w:rsidRDefault="005008BD" w:rsidP="00A32E87">
      <w:r>
        <w:separator/>
      </w:r>
    </w:p>
  </w:footnote>
  <w:footnote w:type="continuationSeparator" w:id="0">
    <w:p w14:paraId="22A0F9F5" w14:textId="77777777" w:rsidR="005008BD" w:rsidRDefault="005008BD" w:rsidP="00A3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9E85" w14:textId="3612C9DF" w:rsidR="005C3D2D" w:rsidRDefault="008D0BA7" w:rsidP="00C53253">
    <w:pPr>
      <w:pStyle w:val="Zhlav"/>
      <w:jc w:val="center"/>
    </w:pPr>
    <w:r>
      <w:t xml:space="preserve">Příloha č. 3 Smlouvy - </w:t>
    </w:r>
    <w:r w:rsidR="005C3D2D">
      <w:t>Odměna a platba</w:t>
    </w:r>
  </w:p>
  <w:p w14:paraId="23830EEA" w14:textId="77777777" w:rsidR="005C3D2D" w:rsidRDefault="005C3D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04C"/>
    <w:multiLevelType w:val="hybridMultilevel"/>
    <w:tmpl w:val="19A8B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97"/>
    <w:rsid w:val="00023CC4"/>
    <w:rsid w:val="00041847"/>
    <w:rsid w:val="000D145D"/>
    <w:rsid w:val="000F00EE"/>
    <w:rsid w:val="00105BAE"/>
    <w:rsid w:val="001944E4"/>
    <w:rsid w:val="00243685"/>
    <w:rsid w:val="00261258"/>
    <w:rsid w:val="002670A5"/>
    <w:rsid w:val="002A1E54"/>
    <w:rsid w:val="002D6A58"/>
    <w:rsid w:val="002F2E2B"/>
    <w:rsid w:val="00320491"/>
    <w:rsid w:val="00341E78"/>
    <w:rsid w:val="00355079"/>
    <w:rsid w:val="00460B8C"/>
    <w:rsid w:val="00466BE9"/>
    <w:rsid w:val="004C6F56"/>
    <w:rsid w:val="004D28B2"/>
    <w:rsid w:val="005008BD"/>
    <w:rsid w:val="005253E3"/>
    <w:rsid w:val="00583C76"/>
    <w:rsid w:val="005B78C6"/>
    <w:rsid w:val="005C3D2D"/>
    <w:rsid w:val="00645B5D"/>
    <w:rsid w:val="006621AA"/>
    <w:rsid w:val="00687310"/>
    <w:rsid w:val="006908B3"/>
    <w:rsid w:val="00734D3D"/>
    <w:rsid w:val="007E6D97"/>
    <w:rsid w:val="007F28E1"/>
    <w:rsid w:val="00812756"/>
    <w:rsid w:val="008167F0"/>
    <w:rsid w:val="00817A13"/>
    <w:rsid w:val="00827DE7"/>
    <w:rsid w:val="008D0BA7"/>
    <w:rsid w:val="009126E7"/>
    <w:rsid w:val="009865B7"/>
    <w:rsid w:val="009B17BA"/>
    <w:rsid w:val="009C1B8D"/>
    <w:rsid w:val="009D42B3"/>
    <w:rsid w:val="00A32E87"/>
    <w:rsid w:val="00A64E9A"/>
    <w:rsid w:val="00A952F0"/>
    <w:rsid w:val="00AE5AB5"/>
    <w:rsid w:val="00B30A21"/>
    <w:rsid w:val="00B440BD"/>
    <w:rsid w:val="00B63624"/>
    <w:rsid w:val="00B84760"/>
    <w:rsid w:val="00BA2D93"/>
    <w:rsid w:val="00C40BF4"/>
    <w:rsid w:val="00C53253"/>
    <w:rsid w:val="00CA4279"/>
    <w:rsid w:val="00CD0CBA"/>
    <w:rsid w:val="00D11B9A"/>
    <w:rsid w:val="00D66D21"/>
    <w:rsid w:val="00D751FD"/>
    <w:rsid w:val="00D81B94"/>
    <w:rsid w:val="00DB7127"/>
    <w:rsid w:val="00DD0354"/>
    <w:rsid w:val="00DF5DAA"/>
    <w:rsid w:val="00DF677B"/>
    <w:rsid w:val="00E04751"/>
    <w:rsid w:val="00E42FE2"/>
    <w:rsid w:val="00E53390"/>
    <w:rsid w:val="00E60C10"/>
    <w:rsid w:val="00E67A5F"/>
    <w:rsid w:val="00E73C00"/>
    <w:rsid w:val="00ED6AD4"/>
    <w:rsid w:val="00F171BE"/>
    <w:rsid w:val="00F457C8"/>
    <w:rsid w:val="00F6670B"/>
    <w:rsid w:val="00F767DA"/>
    <w:rsid w:val="00F938CA"/>
    <w:rsid w:val="00F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004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7E6D97"/>
    <w:pPr>
      <w:keepNext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6D97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7E6D97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customStyle="1" w:styleId="nadpis11">
    <w:name w:val="nadpis 1.1"/>
    <w:basedOn w:val="text"/>
    <w:next w:val="text"/>
    <w:rsid w:val="007E6D97"/>
    <w:pPr>
      <w:keepNext/>
      <w:keepLines/>
      <w:spacing w:before="227"/>
      <w:jc w:val="left"/>
    </w:pPr>
    <w:rPr>
      <w:b/>
      <w:caps/>
      <w:sz w:val="22"/>
    </w:rPr>
  </w:style>
  <w:style w:type="paragraph" w:styleId="Zpat">
    <w:name w:val="footer"/>
    <w:basedOn w:val="Normln"/>
    <w:link w:val="ZpatChar"/>
    <w:uiPriority w:val="99"/>
    <w:rsid w:val="007E6D97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7E6D97"/>
    <w:pPr>
      <w:suppressAutoHyphens/>
    </w:pPr>
    <w:rPr>
      <w:b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7E6D97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E6D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7E6D97"/>
    <w:pPr>
      <w:suppressAutoHyphens/>
      <w:spacing w:after="120"/>
    </w:pPr>
    <w:rPr>
      <w:sz w:val="16"/>
      <w:szCs w:val="16"/>
      <w:lang w:eastAsia="ar-SA"/>
    </w:rPr>
  </w:style>
  <w:style w:type="paragraph" w:customStyle="1" w:styleId="Podpis-nzevspolenosti">
    <w:name w:val="Podpis - název společnosti"/>
    <w:basedOn w:val="Podpis"/>
    <w:next w:val="Normln"/>
    <w:rsid w:val="007E6D97"/>
    <w:pPr>
      <w:keepNext/>
      <w:keepLines/>
      <w:suppressAutoHyphens/>
      <w:spacing w:after="120"/>
      <w:ind w:left="0"/>
    </w:pPr>
    <w:rPr>
      <w:b/>
      <w:caps/>
      <w:szCs w:val="20"/>
      <w:lang w:eastAsia="ar-SA"/>
    </w:rPr>
  </w:style>
  <w:style w:type="paragraph" w:styleId="Podpis">
    <w:name w:val="Signature"/>
    <w:basedOn w:val="Normln"/>
    <w:link w:val="PodpisChar"/>
    <w:uiPriority w:val="99"/>
    <w:semiHidden/>
    <w:unhideWhenUsed/>
    <w:rsid w:val="007E6D97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E6D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7E6D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E6D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6D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6D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6D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D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D9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2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C532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table" w:styleId="Mkatabulky">
    <w:name w:val="Table Grid"/>
    <w:basedOn w:val="Normlntabulka"/>
    <w:uiPriority w:val="59"/>
    <w:rsid w:val="00C5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_1"/>
    <w:basedOn w:val="Normln"/>
    <w:autoRedefine/>
    <w:qFormat/>
    <w:rsid w:val="00C53253"/>
    <w:pPr>
      <w:widowControl w:val="0"/>
      <w:suppressAutoHyphens/>
      <w:jc w:val="both"/>
      <w:outlineLvl w:val="0"/>
    </w:pPr>
    <w:rPr>
      <w:rFonts w:ascii="Arial" w:eastAsia="MS Gothic" w:hAnsi="Arial" w:cs="Arial"/>
      <w:bCs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D035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D035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7E6D97"/>
    <w:pPr>
      <w:keepNext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6D97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7E6D97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customStyle="1" w:styleId="nadpis11">
    <w:name w:val="nadpis 1.1"/>
    <w:basedOn w:val="text"/>
    <w:next w:val="text"/>
    <w:rsid w:val="007E6D97"/>
    <w:pPr>
      <w:keepNext/>
      <w:keepLines/>
      <w:spacing w:before="227"/>
      <w:jc w:val="left"/>
    </w:pPr>
    <w:rPr>
      <w:b/>
      <w:caps/>
      <w:sz w:val="22"/>
    </w:rPr>
  </w:style>
  <w:style w:type="paragraph" w:styleId="Zpat">
    <w:name w:val="footer"/>
    <w:basedOn w:val="Normln"/>
    <w:link w:val="ZpatChar"/>
    <w:uiPriority w:val="99"/>
    <w:rsid w:val="007E6D97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7E6D97"/>
    <w:pPr>
      <w:suppressAutoHyphens/>
    </w:pPr>
    <w:rPr>
      <w:b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7E6D97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E6D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7E6D97"/>
    <w:pPr>
      <w:suppressAutoHyphens/>
      <w:spacing w:after="120"/>
    </w:pPr>
    <w:rPr>
      <w:sz w:val="16"/>
      <w:szCs w:val="16"/>
      <w:lang w:eastAsia="ar-SA"/>
    </w:rPr>
  </w:style>
  <w:style w:type="paragraph" w:customStyle="1" w:styleId="Podpis-nzevspolenosti">
    <w:name w:val="Podpis - název společnosti"/>
    <w:basedOn w:val="Podpis"/>
    <w:next w:val="Normln"/>
    <w:rsid w:val="007E6D97"/>
    <w:pPr>
      <w:keepNext/>
      <w:keepLines/>
      <w:suppressAutoHyphens/>
      <w:spacing w:after="120"/>
      <w:ind w:left="0"/>
    </w:pPr>
    <w:rPr>
      <w:b/>
      <w:caps/>
      <w:szCs w:val="20"/>
      <w:lang w:eastAsia="ar-SA"/>
    </w:rPr>
  </w:style>
  <w:style w:type="paragraph" w:styleId="Podpis">
    <w:name w:val="Signature"/>
    <w:basedOn w:val="Normln"/>
    <w:link w:val="PodpisChar"/>
    <w:uiPriority w:val="99"/>
    <w:semiHidden/>
    <w:unhideWhenUsed/>
    <w:rsid w:val="007E6D97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E6D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7E6D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E6D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6D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6D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6D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D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D9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2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C532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table" w:styleId="Mkatabulky">
    <w:name w:val="Table Grid"/>
    <w:basedOn w:val="Normlntabulka"/>
    <w:uiPriority w:val="59"/>
    <w:rsid w:val="00C5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_1"/>
    <w:basedOn w:val="Normln"/>
    <w:autoRedefine/>
    <w:qFormat/>
    <w:rsid w:val="00C53253"/>
    <w:pPr>
      <w:widowControl w:val="0"/>
      <w:suppressAutoHyphens/>
      <w:jc w:val="both"/>
      <w:outlineLvl w:val="0"/>
    </w:pPr>
    <w:rPr>
      <w:rFonts w:ascii="Arial" w:eastAsia="MS Gothic" w:hAnsi="Arial" w:cs="Arial"/>
      <w:bCs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D035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D035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61909BF2.dotm</Template>
  <TotalTime>0</TotalTime>
  <Pages>3</Pages>
  <Words>710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2017-08-31T09:43:00Z</dcterms:created>
  <dcterms:modified xsi:type="dcterms:W3CDTF">2017-08-31T09:43:00Z</dcterms:modified>
</cp:coreProperties>
</file>