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842" w14:textId="6BF9D9AD"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E66BBD" w:rsidRPr="000F613C">
        <w:rPr>
          <w:rFonts w:ascii="Times New Roman" w:hAnsi="Times New Roman"/>
          <w:b/>
          <w:sz w:val="28"/>
          <w:szCs w:val="20"/>
        </w:rPr>
        <w:t>L</w:t>
      </w:r>
      <w:r w:rsidR="00CA074C">
        <w:rPr>
          <w:rFonts w:ascii="Times New Roman" w:hAnsi="Times New Roman"/>
          <w:b/>
          <w:sz w:val="28"/>
          <w:szCs w:val="20"/>
        </w:rPr>
        <w:t>P</w:t>
      </w:r>
      <w:r w:rsidR="00E66BBD" w:rsidRPr="000F613C">
        <w:rPr>
          <w:rFonts w:ascii="Times New Roman" w:hAnsi="Times New Roman"/>
          <w:b/>
          <w:sz w:val="28"/>
          <w:szCs w:val="20"/>
        </w:rPr>
        <w:t>/</w:t>
      </w:r>
      <w:r w:rsidR="002514FE">
        <w:rPr>
          <w:rFonts w:ascii="Times New Roman" w:hAnsi="Times New Roman"/>
          <w:b/>
          <w:sz w:val="28"/>
          <w:szCs w:val="20"/>
        </w:rPr>
        <w:t>0</w:t>
      </w:r>
      <w:r w:rsidR="00F177FC">
        <w:rPr>
          <w:rFonts w:ascii="Times New Roman" w:hAnsi="Times New Roman"/>
          <w:b/>
          <w:sz w:val="28"/>
          <w:szCs w:val="20"/>
        </w:rPr>
        <w:t>1</w:t>
      </w:r>
      <w:r w:rsidR="0032625C">
        <w:rPr>
          <w:rFonts w:ascii="Times New Roman" w:hAnsi="Times New Roman"/>
          <w:b/>
          <w:sz w:val="28"/>
          <w:szCs w:val="20"/>
        </w:rPr>
        <w:t>/20</w:t>
      </w:r>
      <w:r w:rsidR="00D21712">
        <w:rPr>
          <w:rFonts w:ascii="Times New Roman" w:hAnsi="Times New Roman"/>
          <w:b/>
          <w:sz w:val="28"/>
          <w:szCs w:val="20"/>
        </w:rPr>
        <w:t>2</w:t>
      </w:r>
      <w:r w:rsidR="00F177FC">
        <w:rPr>
          <w:rFonts w:ascii="Times New Roman" w:hAnsi="Times New Roman"/>
          <w:b/>
          <w:sz w:val="28"/>
          <w:szCs w:val="20"/>
        </w:rPr>
        <w:t>2</w:t>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xml:space="preserve">. PharmDr. Tomášem Šimůnkem, Ph.D., děkanem </w:t>
      </w:r>
      <w:proofErr w:type="spellStart"/>
      <w:r w:rsidRPr="00E47F46">
        <w:rPr>
          <w:rFonts w:ascii="Times New Roman" w:eastAsia="Arial" w:hAnsi="Times New Roman"/>
          <w:color w:val="000000"/>
          <w:sz w:val="22"/>
          <w:szCs w:val="22"/>
        </w:rPr>
        <w:t>FaF</w:t>
      </w:r>
      <w:proofErr w:type="spellEnd"/>
      <w:r w:rsidRPr="00E47F46">
        <w:rPr>
          <w:rFonts w:ascii="Times New Roman" w:eastAsia="Arial" w:hAnsi="Times New Roman"/>
          <w:color w:val="000000"/>
          <w:sz w:val="22"/>
          <w:szCs w:val="22"/>
        </w:rPr>
        <w:t xml:space="preserve">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w:t>
      </w:r>
      <w:proofErr w:type="gramStart"/>
      <w:r w:rsidRPr="004E64EE">
        <w:rPr>
          <w:rFonts w:ascii="Times New Roman" w:eastAsia="Arial" w:hAnsi="Times New Roman"/>
          <w:color w:val="000000"/>
          <w:sz w:val="22"/>
          <w:szCs w:val="22"/>
        </w:rPr>
        <w:t>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w:t>
      </w:r>
      <w:proofErr w:type="gramEnd"/>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3416D8FD"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BA5703">
        <w:rPr>
          <w:rFonts w:ascii="Times New Roman" w:hAnsi="Times New Roman"/>
          <w:b/>
          <w:sz w:val="22"/>
          <w:szCs w:val="22"/>
        </w:rPr>
        <w:t xml:space="preserve">Laboratorní </w:t>
      </w:r>
      <w:r w:rsidR="00CA074C">
        <w:rPr>
          <w:rFonts w:ascii="Times New Roman" w:hAnsi="Times New Roman"/>
          <w:b/>
          <w:sz w:val="22"/>
          <w:szCs w:val="22"/>
        </w:rPr>
        <w:t>přístroje</w:t>
      </w:r>
      <w:r w:rsidR="00732588" w:rsidRPr="000F613C">
        <w:rPr>
          <w:rFonts w:ascii="Times New Roman" w:hAnsi="Times New Roman"/>
          <w:b/>
          <w:sz w:val="22"/>
          <w:szCs w:val="22"/>
        </w:rPr>
        <w:t xml:space="preserve"> </w:t>
      </w:r>
      <w:r w:rsidR="00112ACE">
        <w:rPr>
          <w:rFonts w:ascii="Times New Roman" w:hAnsi="Times New Roman"/>
          <w:b/>
          <w:sz w:val="22"/>
          <w:szCs w:val="22"/>
        </w:rPr>
        <w:t xml:space="preserve">(DDHM) </w:t>
      </w:r>
      <w:r w:rsidR="002514FE">
        <w:rPr>
          <w:rFonts w:ascii="Times New Roman" w:hAnsi="Times New Roman"/>
          <w:b/>
          <w:sz w:val="22"/>
          <w:szCs w:val="22"/>
        </w:rPr>
        <w:t>0</w:t>
      </w:r>
      <w:r w:rsidR="00F177FC">
        <w:rPr>
          <w:rFonts w:ascii="Times New Roman" w:hAnsi="Times New Roman"/>
          <w:b/>
          <w:sz w:val="22"/>
          <w:szCs w:val="22"/>
        </w:rPr>
        <w:t>1</w:t>
      </w:r>
      <w:r w:rsidR="00D21712">
        <w:rPr>
          <w:rFonts w:ascii="Times New Roman" w:hAnsi="Times New Roman"/>
          <w:b/>
          <w:sz w:val="22"/>
          <w:szCs w:val="22"/>
        </w:rPr>
        <w:t>/202</w:t>
      </w:r>
      <w:r w:rsidR="00F177FC">
        <w:rPr>
          <w:rFonts w:ascii="Times New Roman" w:hAnsi="Times New Roman"/>
          <w:b/>
          <w:sz w:val="22"/>
          <w:szCs w:val="22"/>
        </w:rPr>
        <w:t>2</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proofErr w:type="gramStart"/>
      <w:r w:rsidR="002514FE" w:rsidRPr="002514FE">
        <w:rPr>
          <w:rFonts w:ascii="Times New Roman" w:hAnsi="Times New Roman"/>
          <w:b/>
          <w:sz w:val="22"/>
          <w:szCs w:val="22"/>
        </w:rPr>
        <w:t>DNS - dodávka</w:t>
      </w:r>
      <w:proofErr w:type="gramEnd"/>
      <w:r w:rsidR="002514FE" w:rsidRPr="002514FE">
        <w:rPr>
          <w:rFonts w:ascii="Times New Roman" w:hAnsi="Times New Roman"/>
          <w:b/>
          <w:sz w:val="22"/>
          <w:szCs w:val="22"/>
        </w:rPr>
        <w:t xml:space="preserve"> laboratorních </w:t>
      </w:r>
      <w:r w:rsidR="002514FE" w:rsidRPr="002514FE">
        <w:rPr>
          <w:rFonts w:ascii="Times New Roman" w:hAnsi="Times New Roman"/>
          <w:b/>
          <w:sz w:val="22"/>
          <w:szCs w:val="22"/>
        </w:rPr>
        <w:lastRenderedPageBreak/>
        <w:t xml:space="preserve">přístrojů (DDHM) pro </w:t>
      </w:r>
      <w:proofErr w:type="spellStart"/>
      <w:r w:rsidR="002514FE" w:rsidRPr="002514FE">
        <w:rPr>
          <w:rFonts w:ascii="Times New Roman" w:hAnsi="Times New Roman"/>
          <w:b/>
          <w:sz w:val="22"/>
          <w:szCs w:val="22"/>
        </w:rPr>
        <w:t>FaF</w:t>
      </w:r>
      <w:proofErr w:type="spellEnd"/>
      <w:r w:rsidR="002514FE" w:rsidRPr="002514FE">
        <w:rPr>
          <w:rFonts w:ascii="Times New Roman" w:hAnsi="Times New Roman"/>
          <w:b/>
          <w:sz w:val="22"/>
          <w:szCs w:val="22"/>
        </w:rPr>
        <w:t xml:space="preserve"> UK v období 2020 – 2024</w:t>
      </w:r>
      <w:r w:rsidR="00732588" w:rsidRPr="000F613C">
        <w:rPr>
          <w:rFonts w:ascii="Times New Roman" w:hAnsi="Times New Roman"/>
          <w:sz w:val="22"/>
          <w:szCs w:val="22"/>
        </w:rPr>
        <w:t xml:space="preserve"> 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1E9D6E9A"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t>Prodávající se zavazuje dodat kupujícímu nov</w:t>
      </w:r>
      <w:r w:rsidR="00ED0B62">
        <w:rPr>
          <w:rFonts w:ascii="Times New Roman" w:hAnsi="Times New Roman"/>
          <w:sz w:val="22"/>
          <w:szCs w:val="22"/>
        </w:rPr>
        <w:t>é</w:t>
      </w:r>
      <w:r w:rsidR="0027476E">
        <w:rPr>
          <w:rFonts w:ascii="Times New Roman" w:hAnsi="Times New Roman"/>
          <w:sz w:val="22"/>
          <w:szCs w:val="22"/>
        </w:rPr>
        <w:t>, nepoužité</w:t>
      </w:r>
      <w:r w:rsidRPr="00283AB7">
        <w:rPr>
          <w:rFonts w:ascii="Times New Roman" w:hAnsi="Times New Roman"/>
          <w:sz w:val="22"/>
          <w:szCs w:val="22"/>
        </w:rPr>
        <w:t xml:space="preserve"> a plně </w:t>
      </w:r>
      <w:r w:rsidR="00BA5703">
        <w:rPr>
          <w:rFonts w:ascii="Times New Roman" w:hAnsi="Times New Roman"/>
          <w:sz w:val="22"/>
          <w:szCs w:val="22"/>
        </w:rPr>
        <w:t xml:space="preserve">funkční </w:t>
      </w:r>
      <w:r w:rsidR="00EF527E">
        <w:rPr>
          <w:rFonts w:ascii="Times New Roman" w:hAnsi="Times New Roman"/>
          <w:sz w:val="22"/>
          <w:szCs w:val="22"/>
        </w:rPr>
        <w:t xml:space="preserve">- </w:t>
      </w:r>
      <w:r w:rsidR="00CA074C">
        <w:rPr>
          <w:rFonts w:ascii="Times New Roman" w:hAnsi="Times New Roman"/>
          <w:b/>
          <w:sz w:val="22"/>
          <w:szCs w:val="22"/>
        </w:rPr>
        <w:t xml:space="preserve">neinvestiční </w:t>
      </w:r>
      <w:r w:rsidR="00CA074C" w:rsidRPr="00BA5703">
        <w:rPr>
          <w:rFonts w:ascii="Times New Roman" w:hAnsi="Times New Roman"/>
          <w:b/>
          <w:sz w:val="22"/>
          <w:szCs w:val="22"/>
        </w:rPr>
        <w:t xml:space="preserve">laboratorní </w:t>
      </w:r>
      <w:r w:rsidR="00CA074C">
        <w:rPr>
          <w:rFonts w:ascii="Times New Roman" w:hAnsi="Times New Roman"/>
          <w:b/>
          <w:sz w:val="22"/>
          <w:szCs w:val="22"/>
        </w:rPr>
        <w:t>přístroje</w:t>
      </w:r>
      <w:r w:rsidR="00ED0B62">
        <w:rPr>
          <w:rFonts w:ascii="Times New Roman" w:hAnsi="Times New Roman"/>
          <w:b/>
          <w:sz w:val="22"/>
          <w:szCs w:val="22"/>
        </w:rPr>
        <w:t xml:space="preserve"> </w:t>
      </w:r>
      <w:r w:rsidR="00ED0B62" w:rsidRPr="00ED0B62">
        <w:rPr>
          <w:rFonts w:ascii="Times New Roman" w:hAnsi="Times New Roman"/>
          <w:sz w:val="22"/>
          <w:szCs w:val="22"/>
        </w:rPr>
        <w:t>tak, jak je kvalitativně i kvantitativně specifikováno</w:t>
      </w:r>
      <w:r w:rsidR="00ED0B62">
        <w:rPr>
          <w:rFonts w:ascii="Times New Roman" w:hAnsi="Times New Roman"/>
          <w:sz w:val="22"/>
          <w:szCs w:val="22"/>
        </w:rPr>
        <w:t xml:space="preserve"> v</w:t>
      </w:r>
      <w:r w:rsidRPr="00283AB7">
        <w:rPr>
          <w:rFonts w:ascii="Times New Roman" w:hAnsi="Times New Roman"/>
          <w:sz w:val="22"/>
          <w:szCs w:val="22"/>
        </w:rPr>
        <w:t xml:space="preserve"> </w:t>
      </w:r>
      <w:r w:rsidR="006B299F">
        <w:rPr>
          <w:rFonts w:ascii="Times New Roman" w:hAnsi="Times New Roman"/>
          <w:sz w:val="22"/>
          <w:szCs w:val="22"/>
        </w:rPr>
        <w:t>p</w:t>
      </w:r>
      <w:r w:rsidRPr="00283AB7">
        <w:rPr>
          <w:rFonts w:ascii="Times New Roman" w:hAnsi="Times New Roman"/>
          <w:sz w:val="22"/>
          <w:szCs w:val="22"/>
        </w:rPr>
        <w:t>řílo</w:t>
      </w:r>
      <w:r w:rsidR="00ED0B62">
        <w:rPr>
          <w:rFonts w:ascii="Times New Roman" w:hAnsi="Times New Roman"/>
          <w:sz w:val="22"/>
          <w:szCs w:val="22"/>
        </w:rPr>
        <w:t>ze</w:t>
      </w:r>
      <w:r w:rsidRPr="00283AB7">
        <w:rPr>
          <w:rFonts w:ascii="Times New Roman" w:hAnsi="Times New Roman"/>
          <w:sz w:val="22"/>
          <w:szCs w:val="22"/>
        </w:rPr>
        <w:t xml:space="preserve"> č. 1 (Specifikace předmětu plnění) této smlouvy, vč</w:t>
      </w:r>
      <w:r w:rsidR="00ED0B62">
        <w:rPr>
          <w:rFonts w:ascii="Times New Roman" w:hAnsi="Times New Roman"/>
          <w:sz w:val="22"/>
          <w:szCs w:val="22"/>
        </w:rPr>
        <w:t xml:space="preserve">etně všech </w:t>
      </w:r>
      <w:r w:rsidR="0027476E">
        <w:rPr>
          <w:rFonts w:ascii="Times New Roman" w:hAnsi="Times New Roman"/>
          <w:sz w:val="22"/>
          <w:szCs w:val="22"/>
        </w:rPr>
        <w:t xml:space="preserve">nezbytných </w:t>
      </w:r>
      <w:r w:rsidR="00ED0B62">
        <w:rPr>
          <w:rFonts w:ascii="Times New Roman" w:hAnsi="Times New Roman"/>
          <w:sz w:val="22"/>
          <w:szCs w:val="22"/>
        </w:rPr>
        <w:t xml:space="preserve">dokladů </w:t>
      </w:r>
      <w:r w:rsidR="0027476E">
        <w:rPr>
          <w:rFonts w:ascii="Times New Roman" w:hAnsi="Times New Roman"/>
          <w:sz w:val="22"/>
          <w:szCs w:val="22"/>
        </w:rPr>
        <w:t>potřebných k</w:t>
      </w:r>
      <w:r w:rsidR="001A3152">
        <w:rPr>
          <w:rFonts w:ascii="Times New Roman" w:hAnsi="Times New Roman"/>
          <w:sz w:val="22"/>
          <w:szCs w:val="22"/>
        </w:rPr>
        <w:t xml:space="preserve"> používání </w:t>
      </w:r>
      <w:r w:rsidR="00BA5703">
        <w:rPr>
          <w:rFonts w:ascii="Times New Roman" w:hAnsi="Times New Roman"/>
          <w:sz w:val="22"/>
          <w:szCs w:val="22"/>
        </w:rPr>
        <w:t xml:space="preserve">laboratorního </w:t>
      </w:r>
      <w:r w:rsidR="00FF6481">
        <w:rPr>
          <w:rFonts w:ascii="Times New Roman" w:hAnsi="Times New Roman"/>
          <w:sz w:val="22"/>
          <w:szCs w:val="22"/>
        </w:rPr>
        <w:t>přístroje</w:t>
      </w:r>
      <w:r w:rsidR="001A3152">
        <w:rPr>
          <w:rFonts w:ascii="Times New Roman" w:hAnsi="Times New Roman"/>
          <w:sz w:val="22"/>
          <w:szCs w:val="22"/>
        </w:rPr>
        <w:t xml:space="preserve"> </w:t>
      </w:r>
      <w:r w:rsidRPr="00283AB7">
        <w:rPr>
          <w:rFonts w:ascii="Times New Roman" w:hAnsi="Times New Roman"/>
          <w:sz w:val="22"/>
          <w:szCs w:val="22"/>
        </w:rPr>
        <w:t>v českém jazyce (dále jen „</w:t>
      </w:r>
      <w:r w:rsidRPr="00283AB7">
        <w:rPr>
          <w:rFonts w:ascii="Times New Roman" w:hAnsi="Times New Roman"/>
          <w:b/>
          <w:sz w:val="22"/>
          <w:szCs w:val="22"/>
        </w:rPr>
        <w:t>zboží</w:t>
      </w:r>
      <w:r w:rsidRPr="00283AB7">
        <w:rPr>
          <w:rFonts w:ascii="Times New Roman" w:hAnsi="Times New Roman"/>
          <w:sz w:val="22"/>
          <w:szCs w:val="22"/>
        </w:rPr>
        <w:t>“</w:t>
      </w:r>
      <w:r w:rsidR="006B299F">
        <w:rPr>
          <w:rFonts w:ascii="Times New Roman" w:hAnsi="Times New Roman"/>
          <w:sz w:val="22"/>
          <w:szCs w:val="22"/>
        </w:rPr>
        <w:t>, kterým se rozumí i jednotlivé položky uvedené v příloze č. 1</w:t>
      </w:r>
      <w:r w:rsidRPr="00283AB7">
        <w:rPr>
          <w:rFonts w:ascii="Times New Roman" w:hAnsi="Times New Roman"/>
          <w:sz w:val="22"/>
          <w:szCs w:val="22"/>
        </w:rPr>
        <w:t xml:space="preserve">), a to v rozsahu a za podmínek stanovených touto smlouvou, a převést na kupujícího neomezené vlastnické právo k tomuto zboží. Součástí závazku prodávajícího </w:t>
      </w:r>
      <w:r w:rsidR="00E47F46">
        <w:rPr>
          <w:rFonts w:ascii="Times New Roman" w:hAnsi="Times New Roman"/>
          <w:sz w:val="22"/>
          <w:szCs w:val="22"/>
        </w:rPr>
        <w:t xml:space="preserve">je </w:t>
      </w:r>
      <w:r w:rsidRPr="00283AB7">
        <w:rPr>
          <w:rFonts w:ascii="Times New Roman" w:hAnsi="Times New Roman"/>
          <w:sz w:val="22"/>
          <w:szCs w:val="22"/>
        </w:rPr>
        <w:t>doprava zboží do místa plnění dle čl. III. této smlouvy</w:t>
      </w:r>
      <w:r w:rsidR="0027476E">
        <w:rPr>
          <w:rFonts w:ascii="Times New Roman" w:hAnsi="Times New Roman"/>
          <w:sz w:val="22"/>
          <w:szCs w:val="22"/>
        </w:rPr>
        <w:t xml:space="preserve"> v originálních obalech výrobce zboží ve sjednaném množství, jakosti, provedení a čase</w:t>
      </w:r>
      <w:r w:rsidRPr="00283AB7">
        <w:rPr>
          <w:rFonts w:ascii="Times New Roman" w:hAnsi="Times New Roman"/>
          <w:sz w:val="22"/>
          <w:szCs w:val="22"/>
        </w:rPr>
        <w:t>.</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5BE9C546"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444DE56C"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D21712">
        <w:rPr>
          <w:rFonts w:ascii="Times New Roman" w:hAnsi="Times New Roman"/>
          <w:sz w:val="22"/>
          <w:szCs w:val="22"/>
        </w:rPr>
        <w:t xml:space="preserve"> </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40983B96"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w:t>
      </w:r>
      <w:proofErr w:type="gramStart"/>
      <w:r w:rsidRPr="001A0E1D">
        <w:rPr>
          <w:rFonts w:ascii="Times New Roman" w:hAnsi="Times New Roman"/>
          <w:sz w:val="22"/>
          <w:szCs w:val="22"/>
        </w:rPr>
        <w:t xml:space="preserve">dokladu </w:t>
      </w:r>
      <w:r w:rsidR="004A3177" w:rsidRPr="001A0E1D">
        <w:rPr>
          <w:rFonts w:ascii="Times New Roman" w:hAnsi="Times New Roman"/>
          <w:sz w:val="22"/>
          <w:szCs w:val="22"/>
        </w:rPr>
        <w:t>-</w:t>
      </w:r>
      <w:r w:rsidRPr="001A0E1D">
        <w:rPr>
          <w:rFonts w:ascii="Times New Roman" w:hAnsi="Times New Roman"/>
          <w:sz w:val="22"/>
          <w:szCs w:val="22"/>
        </w:rPr>
        <w:t xml:space="preserve"> faktury</w:t>
      </w:r>
      <w:proofErr w:type="gramEnd"/>
      <w:r w:rsidRPr="001A0E1D">
        <w:rPr>
          <w:rFonts w:ascii="Times New Roman" w:hAnsi="Times New Roman"/>
          <w:sz w:val="22"/>
          <w:szCs w:val="22"/>
        </w:rPr>
        <w:t xml:space="preserve">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5B79CB82" w14:textId="77777777" w:rsidR="00D21712" w:rsidRDefault="00976AFC" w:rsidP="00D2171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w:t>
      </w:r>
      <w:proofErr w:type="gramStart"/>
      <w:r w:rsidRPr="001A0E1D">
        <w:rPr>
          <w:rFonts w:ascii="Times New Roman" w:hAnsi="Times New Roman"/>
          <w:sz w:val="22"/>
          <w:szCs w:val="22"/>
        </w:rPr>
        <w:t>doklad - faktura</w:t>
      </w:r>
      <w:proofErr w:type="gramEnd"/>
      <w:r w:rsidRPr="001A0E1D">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B7BB8F9" w14:textId="77777777" w:rsidR="00F177FC" w:rsidRDefault="00976AFC" w:rsidP="00F177FC">
      <w:pPr>
        <w:ind w:left="567"/>
        <w:jc w:val="both"/>
        <w:rPr>
          <w:rFonts w:ascii="Times New Roman" w:hAnsi="Times New Roman"/>
          <w:sz w:val="22"/>
          <w:szCs w:val="22"/>
        </w:rPr>
      </w:pPr>
      <w:r w:rsidRPr="00D21712">
        <w:rPr>
          <w:rFonts w:ascii="Times New Roman" w:hAnsi="Times New Roman"/>
          <w:sz w:val="22"/>
          <w:szCs w:val="22"/>
        </w:rPr>
        <w:t xml:space="preserve">Faktura bude obsahovat také označení: </w:t>
      </w:r>
      <w:r w:rsidR="00D21712" w:rsidRPr="00E06E7F">
        <w:rPr>
          <w:rFonts w:ascii="Times New Roman" w:hAnsi="Times New Roman"/>
          <w:b/>
          <w:bCs/>
          <w:sz w:val="22"/>
          <w:szCs w:val="22"/>
        </w:rPr>
        <w:t>DNS</w:t>
      </w:r>
      <w:r w:rsidRPr="00E06E7F">
        <w:rPr>
          <w:rFonts w:ascii="Times New Roman" w:hAnsi="Times New Roman"/>
          <w:b/>
          <w:bCs/>
          <w:sz w:val="22"/>
          <w:szCs w:val="22"/>
        </w:rPr>
        <w:t xml:space="preserve">: Laboratorní přístroje </w:t>
      </w:r>
      <w:r w:rsidR="00112ACE" w:rsidRPr="00E06E7F">
        <w:rPr>
          <w:rFonts w:ascii="Times New Roman" w:hAnsi="Times New Roman"/>
          <w:b/>
          <w:bCs/>
          <w:sz w:val="22"/>
          <w:szCs w:val="22"/>
        </w:rPr>
        <w:t xml:space="preserve">(DDHM) </w:t>
      </w:r>
      <w:r w:rsidR="002514FE" w:rsidRPr="00E06E7F">
        <w:rPr>
          <w:rFonts w:ascii="Times New Roman" w:hAnsi="Times New Roman"/>
          <w:b/>
          <w:bCs/>
          <w:sz w:val="22"/>
          <w:szCs w:val="22"/>
        </w:rPr>
        <w:t>0</w:t>
      </w:r>
      <w:r w:rsidR="00F177FC">
        <w:rPr>
          <w:rFonts w:ascii="Times New Roman" w:hAnsi="Times New Roman"/>
          <w:b/>
          <w:bCs/>
          <w:sz w:val="22"/>
          <w:szCs w:val="22"/>
        </w:rPr>
        <w:t>1</w:t>
      </w:r>
      <w:r w:rsidRPr="00E06E7F">
        <w:rPr>
          <w:rFonts w:ascii="Times New Roman" w:hAnsi="Times New Roman"/>
          <w:b/>
          <w:bCs/>
          <w:sz w:val="22"/>
          <w:szCs w:val="22"/>
        </w:rPr>
        <w:t>/20</w:t>
      </w:r>
      <w:r w:rsidR="00D21712" w:rsidRPr="00E06E7F">
        <w:rPr>
          <w:rFonts w:ascii="Times New Roman" w:hAnsi="Times New Roman"/>
          <w:b/>
          <w:bCs/>
          <w:sz w:val="22"/>
          <w:szCs w:val="22"/>
        </w:rPr>
        <w:t>2</w:t>
      </w:r>
      <w:r w:rsidR="00F177FC">
        <w:rPr>
          <w:rFonts w:ascii="Times New Roman" w:hAnsi="Times New Roman"/>
          <w:b/>
          <w:bCs/>
          <w:sz w:val="22"/>
          <w:szCs w:val="22"/>
        </w:rPr>
        <w:t>2</w:t>
      </w:r>
      <w:r w:rsidRPr="00E06E7F">
        <w:rPr>
          <w:rFonts w:ascii="Times New Roman" w:hAnsi="Times New Roman"/>
          <w:b/>
          <w:bCs/>
          <w:sz w:val="22"/>
          <w:szCs w:val="22"/>
        </w:rPr>
        <w:t xml:space="preserve"> </w:t>
      </w:r>
      <w:r w:rsidR="00C81A48" w:rsidRPr="00E06E7F">
        <w:rPr>
          <w:rFonts w:ascii="Times New Roman" w:hAnsi="Times New Roman"/>
          <w:b/>
          <w:bCs/>
          <w:sz w:val="22"/>
          <w:szCs w:val="22"/>
        </w:rPr>
        <w:t xml:space="preserve">pro </w:t>
      </w:r>
      <w:r w:rsidR="00F177FC" w:rsidRPr="0016406C">
        <w:rPr>
          <w:rFonts w:ascii="Times New Roman" w:hAnsi="Times New Roman"/>
          <w:b/>
          <w:bCs/>
          <w:sz w:val="22"/>
          <w:szCs w:val="22"/>
        </w:rPr>
        <w:t xml:space="preserve">„ERDF pro VŠ II na </w:t>
      </w:r>
      <w:proofErr w:type="gramStart"/>
      <w:r w:rsidR="00F177FC" w:rsidRPr="0016406C">
        <w:rPr>
          <w:rFonts w:ascii="Times New Roman" w:hAnsi="Times New Roman"/>
          <w:b/>
          <w:bCs/>
          <w:sz w:val="22"/>
          <w:szCs w:val="22"/>
        </w:rPr>
        <w:t>UK - MRR</w:t>
      </w:r>
      <w:proofErr w:type="gramEnd"/>
      <w:r w:rsidR="00F177FC" w:rsidRPr="0016406C">
        <w:rPr>
          <w:rFonts w:ascii="Times New Roman" w:hAnsi="Times New Roman"/>
          <w:b/>
          <w:bCs/>
          <w:sz w:val="22"/>
          <w:szCs w:val="22"/>
        </w:rPr>
        <w:t xml:space="preserve">“, </w:t>
      </w:r>
      <w:proofErr w:type="spellStart"/>
      <w:r w:rsidR="00F177FC" w:rsidRPr="0016406C">
        <w:rPr>
          <w:rFonts w:ascii="Times New Roman" w:hAnsi="Times New Roman"/>
          <w:b/>
          <w:bCs/>
          <w:sz w:val="22"/>
          <w:szCs w:val="22"/>
        </w:rPr>
        <w:t>reg</w:t>
      </w:r>
      <w:proofErr w:type="spellEnd"/>
      <w:r w:rsidR="00F177FC" w:rsidRPr="0016406C">
        <w:rPr>
          <w:rFonts w:ascii="Times New Roman" w:hAnsi="Times New Roman"/>
          <w:b/>
          <w:bCs/>
          <w:sz w:val="22"/>
          <w:szCs w:val="22"/>
        </w:rPr>
        <w:t>. č. CZ.02.2.67/0.0/0.0/18_057/0013295, spolufinancovaného z prostředků Evropského strukturálního a investičního fondu v rámci OP VVV</w:t>
      </w:r>
      <w:r w:rsidR="00F177FC" w:rsidRPr="001A0E1D">
        <w:rPr>
          <w:rFonts w:ascii="Times New Roman" w:hAnsi="Times New Roman"/>
          <w:sz w:val="22"/>
          <w:szCs w:val="22"/>
        </w:rPr>
        <w:t xml:space="preserve"> </w:t>
      </w:r>
    </w:p>
    <w:p w14:paraId="5B36758F" w14:textId="1B350133" w:rsidR="00976AFC" w:rsidRPr="001A0E1D" w:rsidRDefault="00976AFC" w:rsidP="00F177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26FC8BC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D71D47">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172ADB8" w14:textId="77777777" w:rsidR="000D3A5B" w:rsidRDefault="000D3A5B" w:rsidP="00283AB7">
      <w:pPr>
        <w:pStyle w:val="Nzev"/>
        <w:spacing w:before="60" w:after="60"/>
        <w:rPr>
          <w:rFonts w:ascii="Times New Roman" w:hAnsi="Times New Roman"/>
          <w:szCs w:val="22"/>
        </w:rPr>
      </w:pPr>
    </w:p>
    <w:p w14:paraId="049C1874" w14:textId="324E507E"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1"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1"/>
      <w:r w:rsidRPr="00283AB7">
        <w:rPr>
          <w:rFonts w:ascii="Times New Roman" w:hAnsi="Times New Roman"/>
          <w:sz w:val="22"/>
          <w:szCs w:val="22"/>
        </w:rPr>
        <w:t xml:space="preserve"> Smluvní strany se v případě doručování zásilek formou doporučených dopisů dohodly tak, že zásilka je </w:t>
      </w:r>
      <w:r w:rsidRPr="00283AB7">
        <w:rPr>
          <w:rFonts w:ascii="Times New Roman" w:hAnsi="Times New Roman"/>
          <w:sz w:val="22"/>
          <w:szCs w:val="22"/>
        </w:rPr>
        <w:lastRenderedPageBreak/>
        <w:t>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2"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2"/>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4860BA88"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 xml:space="preserve">jestliže prodávající </w:t>
      </w:r>
      <w:proofErr w:type="gramStart"/>
      <w:r w:rsidRPr="00283AB7">
        <w:rPr>
          <w:rFonts w:ascii="Times New Roman" w:hAnsi="Times New Roman"/>
          <w:sz w:val="22"/>
          <w:szCs w:val="22"/>
        </w:rPr>
        <w:t>nedodá</w:t>
      </w:r>
      <w:proofErr w:type="gramEnd"/>
      <w:r w:rsidRPr="00283AB7">
        <w:rPr>
          <w:rFonts w:ascii="Times New Roman" w:hAnsi="Times New Roman"/>
          <w:sz w:val="22"/>
          <w:szCs w:val="22"/>
        </w:rPr>
        <w:t xml:space="preserve">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0F7A9158"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AF6F24"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5A6F" w14:textId="77777777" w:rsidR="00AF6F24" w:rsidRDefault="00AF6F24" w:rsidP="00E47F46">
      <w:pPr>
        <w:spacing w:before="0" w:after="0"/>
      </w:pPr>
      <w:r>
        <w:separator/>
      </w:r>
    </w:p>
  </w:endnote>
  <w:endnote w:type="continuationSeparator" w:id="0">
    <w:p w14:paraId="1A2AA875" w14:textId="77777777" w:rsidR="00AF6F24" w:rsidRDefault="00AF6F24"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833A" w14:textId="77777777" w:rsidR="00AF6F24" w:rsidRDefault="00AF6F24" w:rsidP="00E47F46">
      <w:pPr>
        <w:spacing w:before="0" w:after="0"/>
      </w:pPr>
      <w:r>
        <w:separator/>
      </w:r>
    </w:p>
  </w:footnote>
  <w:footnote w:type="continuationSeparator" w:id="0">
    <w:p w14:paraId="29586597" w14:textId="77777777" w:rsidR="00AF6F24" w:rsidRDefault="00AF6F24"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9381A"/>
    <w:rsid w:val="000A048E"/>
    <w:rsid w:val="000C6FCF"/>
    <w:rsid w:val="000D3A5B"/>
    <w:rsid w:val="000D4CE2"/>
    <w:rsid w:val="000E0F34"/>
    <w:rsid w:val="000F14E6"/>
    <w:rsid w:val="000F2103"/>
    <w:rsid w:val="000F613C"/>
    <w:rsid w:val="00105F62"/>
    <w:rsid w:val="00112ACE"/>
    <w:rsid w:val="00137C21"/>
    <w:rsid w:val="00140AF0"/>
    <w:rsid w:val="001801EE"/>
    <w:rsid w:val="001A0E1D"/>
    <w:rsid w:val="001A3152"/>
    <w:rsid w:val="001A5BFF"/>
    <w:rsid w:val="001C5F75"/>
    <w:rsid w:val="001D5B6D"/>
    <w:rsid w:val="001F6561"/>
    <w:rsid w:val="002514FE"/>
    <w:rsid w:val="0025471B"/>
    <w:rsid w:val="002644C5"/>
    <w:rsid w:val="0027476E"/>
    <w:rsid w:val="00274E6D"/>
    <w:rsid w:val="00283AB7"/>
    <w:rsid w:val="00283D71"/>
    <w:rsid w:val="002A491B"/>
    <w:rsid w:val="002B480B"/>
    <w:rsid w:val="002F49E4"/>
    <w:rsid w:val="002F70DC"/>
    <w:rsid w:val="00321819"/>
    <w:rsid w:val="0032625C"/>
    <w:rsid w:val="00344BC1"/>
    <w:rsid w:val="00380D67"/>
    <w:rsid w:val="0039166F"/>
    <w:rsid w:val="0039564D"/>
    <w:rsid w:val="003B1519"/>
    <w:rsid w:val="003B4776"/>
    <w:rsid w:val="003C7714"/>
    <w:rsid w:val="0041518C"/>
    <w:rsid w:val="00467F57"/>
    <w:rsid w:val="004733C7"/>
    <w:rsid w:val="004A3177"/>
    <w:rsid w:val="004E1C2B"/>
    <w:rsid w:val="004E64EE"/>
    <w:rsid w:val="004F7A0F"/>
    <w:rsid w:val="005104B9"/>
    <w:rsid w:val="005148F3"/>
    <w:rsid w:val="00525E32"/>
    <w:rsid w:val="00533293"/>
    <w:rsid w:val="00545A14"/>
    <w:rsid w:val="00554E10"/>
    <w:rsid w:val="005738EA"/>
    <w:rsid w:val="005A0C05"/>
    <w:rsid w:val="005B21E3"/>
    <w:rsid w:val="005C38AE"/>
    <w:rsid w:val="005E0C66"/>
    <w:rsid w:val="005F0040"/>
    <w:rsid w:val="005F3744"/>
    <w:rsid w:val="00603185"/>
    <w:rsid w:val="00622BBB"/>
    <w:rsid w:val="00666257"/>
    <w:rsid w:val="006B299F"/>
    <w:rsid w:val="006C79BE"/>
    <w:rsid w:val="00702EB8"/>
    <w:rsid w:val="00711C18"/>
    <w:rsid w:val="00714AD9"/>
    <w:rsid w:val="00732588"/>
    <w:rsid w:val="00762252"/>
    <w:rsid w:val="00765DDB"/>
    <w:rsid w:val="00765F4A"/>
    <w:rsid w:val="007861EA"/>
    <w:rsid w:val="007E52A0"/>
    <w:rsid w:val="008131AD"/>
    <w:rsid w:val="00822877"/>
    <w:rsid w:val="00832C95"/>
    <w:rsid w:val="008729B5"/>
    <w:rsid w:val="008A0551"/>
    <w:rsid w:val="008A2616"/>
    <w:rsid w:val="00903D00"/>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C29A5"/>
    <w:rsid w:val="00AC6AB0"/>
    <w:rsid w:val="00AF6F24"/>
    <w:rsid w:val="00B235F0"/>
    <w:rsid w:val="00B41A3D"/>
    <w:rsid w:val="00B41E3A"/>
    <w:rsid w:val="00B52DA1"/>
    <w:rsid w:val="00B65241"/>
    <w:rsid w:val="00BA1A71"/>
    <w:rsid w:val="00BA5703"/>
    <w:rsid w:val="00BF3551"/>
    <w:rsid w:val="00C0381C"/>
    <w:rsid w:val="00C11A79"/>
    <w:rsid w:val="00C14947"/>
    <w:rsid w:val="00C255AA"/>
    <w:rsid w:val="00C342D0"/>
    <w:rsid w:val="00C81A48"/>
    <w:rsid w:val="00CA074C"/>
    <w:rsid w:val="00CF5C4E"/>
    <w:rsid w:val="00D16485"/>
    <w:rsid w:val="00D21712"/>
    <w:rsid w:val="00D33AD6"/>
    <w:rsid w:val="00D55BB5"/>
    <w:rsid w:val="00D71D47"/>
    <w:rsid w:val="00D80A53"/>
    <w:rsid w:val="00DD413E"/>
    <w:rsid w:val="00DE7BF9"/>
    <w:rsid w:val="00E06E7F"/>
    <w:rsid w:val="00E27AC2"/>
    <w:rsid w:val="00E47F46"/>
    <w:rsid w:val="00E66596"/>
    <w:rsid w:val="00E66BBD"/>
    <w:rsid w:val="00E7162A"/>
    <w:rsid w:val="00EA25C6"/>
    <w:rsid w:val="00ED0B62"/>
    <w:rsid w:val="00EF44D4"/>
    <w:rsid w:val="00EF527E"/>
    <w:rsid w:val="00F057E0"/>
    <w:rsid w:val="00F06AD4"/>
    <w:rsid w:val="00F153F5"/>
    <w:rsid w:val="00F177FC"/>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9B6CE-608D-4047-9651-21314BF8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2875</Words>
  <Characters>16966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19</cp:revision>
  <cp:lastPrinted>2019-04-15T10:22:00Z</cp:lastPrinted>
  <dcterms:created xsi:type="dcterms:W3CDTF">2019-09-13T09:07:00Z</dcterms:created>
  <dcterms:modified xsi:type="dcterms:W3CDTF">2022-03-10T16:04:00Z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