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2D79" w14:textId="7EF4FD41" w:rsidR="0066736C" w:rsidRDefault="0066736C" w:rsidP="00C14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76F5F">
        <w:rPr>
          <w:rFonts w:asciiTheme="minorHAnsi" w:hAnsiTheme="minorHAnsi" w:cstheme="minorHAnsi"/>
          <w:b/>
          <w:bCs/>
          <w:sz w:val="28"/>
          <w:szCs w:val="28"/>
        </w:rPr>
        <w:t>Čestné prohlášení o s</w:t>
      </w: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C76F5F">
        <w:rPr>
          <w:rFonts w:asciiTheme="minorHAnsi" w:hAnsiTheme="minorHAnsi" w:cstheme="minorHAnsi"/>
          <w:b/>
          <w:bCs/>
          <w:sz w:val="28"/>
          <w:szCs w:val="28"/>
        </w:rPr>
        <w:t>lnění základní způsobilosti</w:t>
      </w:r>
      <w:r w:rsidR="00C14C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9"/>
        <w:gridCol w:w="6631"/>
        <w:gridCol w:w="19"/>
      </w:tblGrid>
      <w:tr w:rsidR="0066736C" w:rsidRPr="009739ED" w14:paraId="261D7AA3" w14:textId="77777777" w:rsidTr="00AB073B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A06DC0" w14:textId="77777777" w:rsidR="0066736C" w:rsidRPr="000A3089" w:rsidRDefault="0066736C" w:rsidP="00AB073B">
            <w:pPr>
              <w:spacing w:after="120" w:line="32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14:paraId="4F9F1CB7" w14:textId="65CF45F8" w:rsidR="0066736C" w:rsidRPr="000A3089" w:rsidRDefault="0066736C" w:rsidP="0066736C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FSV UK </w:t>
            </w:r>
            <w:r w:rsidRPr="0066736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- </w:t>
            </w:r>
            <w:r w:rsidRPr="0066736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66736C">
              <w:rPr>
                <w:rFonts w:asciiTheme="minorHAnsi" w:hAnsiTheme="minorHAnsi"/>
                <w:sz w:val="24"/>
                <w:szCs w:val="24"/>
              </w:rPr>
              <w:t xml:space="preserve">IT vybavení (serverové a síťové prvky) </w:t>
            </w:r>
          </w:p>
        </w:tc>
      </w:tr>
      <w:tr w:rsidR="0066736C" w:rsidRPr="009739ED" w14:paraId="30A60589" w14:textId="77777777" w:rsidTr="00AB073B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5B039B" w14:textId="77777777" w:rsidR="0066736C" w:rsidRPr="000A3089" w:rsidRDefault="0066736C" w:rsidP="00AB073B">
            <w:pPr>
              <w:spacing w:after="120" w:line="320" w:lineRule="atLeast"/>
              <w:ind w:left="14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0A3089">
              <w:rPr>
                <w:rFonts w:asciiTheme="minorHAnsi" w:hAnsiTheme="minorHAnsi" w:cstheme="minorHAnsi"/>
                <w:b/>
                <w:sz w:val="24"/>
                <w:szCs w:val="24"/>
              </w:rPr>
              <w:t>Účastník</w:t>
            </w:r>
            <w:r w:rsidRPr="000A3089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6736C" w:rsidRPr="009739ED" w14:paraId="7BCE7DA0" w14:textId="77777777" w:rsidTr="00AB073B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C2F2365" w14:textId="77777777" w:rsidR="0066736C" w:rsidRPr="000A3089" w:rsidRDefault="0066736C" w:rsidP="00AB073B">
            <w:pPr>
              <w:spacing w:after="120" w:line="320" w:lineRule="atLeast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sz w:val="24"/>
                <w:szCs w:val="24"/>
              </w:rPr>
              <w:t xml:space="preserve">Název </w:t>
            </w:r>
            <w:r w:rsidRPr="000A3089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14:paraId="676DD698" w14:textId="77777777" w:rsidR="0066736C" w:rsidRPr="000A3089" w:rsidRDefault="0066736C" w:rsidP="00AB073B">
            <w:pPr>
              <w:spacing w:after="120" w:line="320" w:lineRule="atLeast"/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</w:pPr>
            <w:r w:rsidRPr="000A3089"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  <w:t>[VYPLNÍ ÚČASTNÍK]</w:t>
            </w:r>
          </w:p>
        </w:tc>
      </w:tr>
      <w:tr w:rsidR="0066736C" w:rsidRPr="009739ED" w14:paraId="4A7B615D" w14:textId="77777777" w:rsidTr="00AB073B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3BB65F5B" w14:textId="77777777" w:rsidR="0066736C" w:rsidRPr="000A3089" w:rsidRDefault="0066736C" w:rsidP="00AB073B">
            <w:pPr>
              <w:spacing w:after="120" w:line="320" w:lineRule="atLeast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</w:p>
        </w:tc>
        <w:tc>
          <w:tcPr>
            <w:tcW w:w="6631" w:type="dxa"/>
          </w:tcPr>
          <w:p w14:paraId="5E750631" w14:textId="77777777" w:rsidR="0066736C" w:rsidRPr="000A3089" w:rsidRDefault="0066736C" w:rsidP="00AB073B">
            <w:pPr>
              <w:spacing w:after="120" w:line="320" w:lineRule="atLeast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0A3089"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  <w:t>[VYPLNÍ ÚČASTNÍK]</w:t>
            </w:r>
          </w:p>
        </w:tc>
      </w:tr>
      <w:tr w:rsidR="0066736C" w:rsidRPr="009739ED" w14:paraId="7D556E77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7A530546" w14:textId="5BBC202C" w:rsidR="0066736C" w:rsidRPr="000A3089" w:rsidRDefault="0066736C" w:rsidP="00AB073B">
            <w:pPr>
              <w:spacing w:after="120" w:line="320" w:lineRule="atLeast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A3089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A30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</w:tcPr>
          <w:p w14:paraId="5DFE3C20" w14:textId="77777777" w:rsidR="0066736C" w:rsidRPr="000A3089" w:rsidRDefault="0066736C" w:rsidP="00AB073B">
            <w:pPr>
              <w:spacing w:after="120" w:line="320" w:lineRule="atLeast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0A3089"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  <w:t>[VYPLNÍ ÚČASTNÍK]</w:t>
            </w:r>
          </w:p>
        </w:tc>
      </w:tr>
    </w:tbl>
    <w:p w14:paraId="129D0152" w14:textId="20FA3A61" w:rsidR="0066736C" w:rsidRPr="00C14C9F" w:rsidRDefault="0066736C" w:rsidP="00C14C9F">
      <w:pPr>
        <w:spacing w:before="240" w:after="12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76F5F">
        <w:rPr>
          <w:rFonts w:asciiTheme="minorHAnsi" w:eastAsia="Times New Roman" w:hAnsiTheme="minorHAnsi" w:cstheme="minorHAnsi"/>
          <w:lang w:eastAsia="cs-CZ"/>
        </w:rPr>
        <w:t xml:space="preserve">Tímto prohlašujeme, že splňujeme </w:t>
      </w:r>
      <w:r w:rsidRPr="00C76F5F">
        <w:rPr>
          <w:rFonts w:asciiTheme="minorHAnsi" w:eastAsia="Times New Roman" w:hAnsiTheme="minorHAnsi" w:cstheme="minorHAnsi"/>
          <w:b/>
          <w:lang w:eastAsia="cs-CZ"/>
        </w:rPr>
        <w:t xml:space="preserve">základní způsobilost </w:t>
      </w:r>
      <w:r w:rsidRPr="00C76F5F">
        <w:rPr>
          <w:rFonts w:asciiTheme="minorHAnsi" w:eastAsia="Times New Roman" w:hAnsiTheme="minorHAnsi" w:cstheme="minorHAnsi"/>
          <w:lang w:eastAsia="cs-CZ"/>
        </w:rPr>
        <w:t>dle</w:t>
      </w:r>
      <w:r w:rsidRPr="00C76F5F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C76F5F">
        <w:rPr>
          <w:rFonts w:asciiTheme="minorHAnsi" w:eastAsia="Times New Roman" w:hAnsiTheme="minorHAnsi" w:cstheme="minorHAnsi"/>
          <w:lang w:eastAsia="cs-CZ"/>
        </w:rPr>
        <w:t>§ 74</w:t>
      </w:r>
      <w:r w:rsidR="00C14C9F">
        <w:rPr>
          <w:rFonts w:asciiTheme="minorHAnsi" w:eastAsia="Times New Roman" w:hAnsiTheme="minorHAnsi" w:cstheme="minorHAnsi"/>
          <w:lang w:eastAsia="cs-CZ"/>
        </w:rPr>
        <w:t xml:space="preserve"> odst.1) </w:t>
      </w:r>
      <w:r w:rsidRPr="00C76F5F">
        <w:rPr>
          <w:rFonts w:asciiTheme="minorHAnsi" w:eastAsia="Times New Roman" w:hAnsiTheme="minorHAnsi" w:cstheme="minorHAnsi"/>
          <w:lang w:eastAsia="cs-CZ"/>
        </w:rPr>
        <w:t xml:space="preserve">zákona č. 134/2016 Sb., o zadávání veřejných zakázek, v platném znění a </w:t>
      </w:r>
      <w:r w:rsidRPr="00C76F5F">
        <w:rPr>
          <w:rFonts w:asciiTheme="minorHAnsi" w:eastAsia="Times New Roman" w:hAnsiTheme="minorHAnsi" w:cstheme="minorHAnsi"/>
          <w:b/>
          <w:lang w:eastAsia="cs-CZ"/>
        </w:rPr>
        <w:t xml:space="preserve">nejsme dodavatel, který </w:t>
      </w:r>
    </w:p>
    <w:p w14:paraId="2C48559F" w14:textId="77777777" w:rsidR="0066736C" w:rsidRPr="008A796D" w:rsidRDefault="0066736C" w:rsidP="00667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796D">
        <w:rPr>
          <w:rFonts w:asciiTheme="minorHAnsi" w:hAnsiTheme="minorHAnsi" w:cstheme="minorHAnsi"/>
          <w:color w:val="000000"/>
        </w:rPr>
        <w:t xml:space="preserve">byl v zemi svého sídla v posledních 5 letech před zahájením výběrového řízení pravomocně odsouzen pro trestný čin uvedený v příloze č. 3 k tomuto zákonu nebo obdobný trestný čin podle právního řádu země sídla účastníka; k zahlazeným odsouzením se nepřihlíží, </w:t>
      </w:r>
    </w:p>
    <w:p w14:paraId="6E097C64" w14:textId="77777777" w:rsidR="0066736C" w:rsidRPr="008A796D" w:rsidRDefault="0066736C" w:rsidP="00C14C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796D">
        <w:rPr>
          <w:rFonts w:asciiTheme="minorHAnsi" w:hAnsiTheme="minorHAnsi" w:cstheme="minorHAnsi"/>
          <w:color w:val="000000"/>
        </w:rPr>
        <w:t xml:space="preserve">má v České republice nebo v zemi svého sídla v evidenci daní zachycen splatný daňový nedoplatek, </w:t>
      </w:r>
    </w:p>
    <w:p w14:paraId="7CF5FB0A" w14:textId="77777777" w:rsidR="0066736C" w:rsidRPr="008A796D" w:rsidRDefault="0066736C" w:rsidP="00667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796D">
        <w:rPr>
          <w:rFonts w:asciiTheme="minorHAnsi" w:hAnsiTheme="minorHAnsi" w:cstheme="minorHAnsi"/>
          <w:color w:val="000000"/>
        </w:rPr>
        <w:t xml:space="preserve">má v České republice nebo v zemi svého sídla splatný nedoplatek na pojistném nebo na penále na veřejné zdravotní pojištění, </w:t>
      </w:r>
    </w:p>
    <w:p w14:paraId="03ACB270" w14:textId="77777777" w:rsidR="0066736C" w:rsidRPr="00842239" w:rsidRDefault="0066736C" w:rsidP="00667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42239">
        <w:rPr>
          <w:rFonts w:asciiTheme="minorHAnsi" w:hAnsiTheme="minorHAnsi" w:cstheme="minorHAnsi"/>
          <w:color w:val="000000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13461349" w14:textId="77777777" w:rsidR="0066736C" w:rsidRPr="00842239" w:rsidRDefault="0066736C" w:rsidP="00667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42239">
        <w:rPr>
          <w:rFonts w:asciiTheme="minorHAnsi" w:hAnsiTheme="minorHAnsi" w:cstheme="minorHAnsi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14:paraId="025E8B86" w14:textId="77777777" w:rsidR="0066736C" w:rsidRPr="00C14C9F" w:rsidRDefault="0066736C" w:rsidP="00C14C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Theme="minorHAnsi" w:hAnsiTheme="minorHAnsi" w:cstheme="minorHAnsi"/>
          <w:color w:val="000000"/>
        </w:rPr>
      </w:pPr>
      <w:r w:rsidRPr="00C14C9F">
        <w:rPr>
          <w:rFonts w:asciiTheme="minorHAnsi" w:hAnsiTheme="minorHAnsi" w:cstheme="minorHAnsi"/>
        </w:rPr>
        <w:t xml:space="preserve">Je-li účastníkem právnická osoba, musí podmínku podle odstavce 1 písm. a) splňovat tato právnická osoba a zároveň každý člen statutárního orgánu. Je-li členem statutárního orgánu účastníka právnická osoba, musí podmínku podle odstavce 1 písm. a) splňovat </w:t>
      </w:r>
    </w:p>
    <w:p w14:paraId="001B4968" w14:textId="77777777" w:rsidR="0066736C" w:rsidRPr="00842239" w:rsidRDefault="0066736C" w:rsidP="0066736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842239">
        <w:rPr>
          <w:rFonts w:asciiTheme="minorHAnsi" w:hAnsiTheme="minorHAnsi" w:cstheme="minorHAnsi"/>
          <w:color w:val="000000"/>
        </w:rPr>
        <w:t xml:space="preserve">tato právnická osoba, </w:t>
      </w:r>
    </w:p>
    <w:p w14:paraId="31DBD754" w14:textId="77777777" w:rsidR="0066736C" w:rsidRPr="008A796D" w:rsidRDefault="0066736C" w:rsidP="006673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796D">
        <w:rPr>
          <w:rFonts w:asciiTheme="minorHAnsi" w:hAnsiTheme="minorHAnsi" w:cstheme="minorHAnsi"/>
          <w:color w:val="000000"/>
        </w:rPr>
        <w:t xml:space="preserve">každý člen statutárního orgánu této právnické osoby a </w:t>
      </w:r>
    </w:p>
    <w:p w14:paraId="59E072FF" w14:textId="77777777" w:rsidR="0066736C" w:rsidRPr="008A796D" w:rsidRDefault="0066736C" w:rsidP="006673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796D">
        <w:rPr>
          <w:rFonts w:asciiTheme="minorHAnsi" w:hAnsiTheme="minorHAnsi" w:cstheme="minorHAnsi"/>
          <w:color w:val="000000"/>
        </w:rPr>
        <w:t xml:space="preserve">osoba zastupující tuto právnickou osobu v statutárním orgánu účastníka. </w:t>
      </w:r>
    </w:p>
    <w:p w14:paraId="12A88724" w14:textId="77777777" w:rsidR="0066736C" w:rsidRPr="008A796D" w:rsidRDefault="0066736C" w:rsidP="0066736C">
      <w:pPr>
        <w:jc w:val="both"/>
        <w:rPr>
          <w:rFonts w:asciiTheme="minorHAnsi" w:hAnsiTheme="minorHAnsi" w:cstheme="minorHAnsi"/>
        </w:rPr>
      </w:pPr>
      <w:r w:rsidRPr="008A796D">
        <w:rPr>
          <w:rFonts w:asciiTheme="minorHAnsi" w:hAnsiTheme="minorHAnsi" w:cstheme="minorHAnsi"/>
        </w:rPr>
        <w:t xml:space="preserve">Účastní-li se zadávacího řízení pobočka závodu zahraniční právnické osoby, musí podmínku základní způsobilosti podle </w:t>
      </w:r>
      <w:r>
        <w:rPr>
          <w:rFonts w:asciiTheme="minorHAnsi" w:hAnsiTheme="minorHAnsi" w:cstheme="minorHAnsi"/>
        </w:rPr>
        <w:t xml:space="preserve">odst. 1) </w:t>
      </w:r>
      <w:r w:rsidRPr="008A796D">
        <w:rPr>
          <w:rFonts w:asciiTheme="minorHAnsi" w:hAnsiTheme="minorHAnsi" w:cstheme="minorHAnsi"/>
        </w:rPr>
        <w:t xml:space="preserve">písm. a) splňovat tato právnická osoba a vedoucí pobočky závodu. </w:t>
      </w:r>
    </w:p>
    <w:p w14:paraId="6E0AB02F" w14:textId="77777777" w:rsidR="0066736C" w:rsidRPr="008A796D" w:rsidRDefault="0066736C" w:rsidP="0066736C">
      <w:pPr>
        <w:jc w:val="both"/>
        <w:rPr>
          <w:rFonts w:asciiTheme="minorHAnsi" w:hAnsiTheme="minorHAnsi" w:cstheme="minorHAnsi"/>
        </w:rPr>
      </w:pPr>
      <w:r w:rsidRPr="008A796D">
        <w:rPr>
          <w:rFonts w:asciiTheme="minorHAnsi" w:hAnsiTheme="minorHAnsi" w:cstheme="minorHAnsi"/>
        </w:rPr>
        <w:t xml:space="preserve">Účastní-li se zadávacího řízení pobočka závodu české právnické osoby, musí podmínku základní způsobilosti podle </w:t>
      </w:r>
      <w:r>
        <w:rPr>
          <w:rFonts w:asciiTheme="minorHAnsi" w:hAnsiTheme="minorHAnsi" w:cstheme="minorHAnsi"/>
        </w:rPr>
        <w:t xml:space="preserve">odst. 1) </w:t>
      </w:r>
      <w:r w:rsidRPr="008A796D">
        <w:rPr>
          <w:rFonts w:asciiTheme="minorHAnsi" w:hAnsiTheme="minorHAnsi" w:cstheme="minorHAnsi"/>
        </w:rPr>
        <w:t xml:space="preserve">písm. a) splňovat tato právnická osoba, každý člen statutárního orgánu této právnické osoby, osoba zastupující tuto právnickou osobu ve statutárním orgánu dodavatele a vedoucího pobočky.  </w:t>
      </w:r>
    </w:p>
    <w:p w14:paraId="3C4B80C7" w14:textId="77777777" w:rsidR="0066736C" w:rsidRPr="00C76F5F" w:rsidRDefault="0066736C" w:rsidP="0066736C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37982337" w14:textId="77777777" w:rsidR="0066736C" w:rsidRPr="00C76F5F" w:rsidRDefault="0066736C" w:rsidP="0066736C">
      <w:pPr>
        <w:rPr>
          <w:rFonts w:asciiTheme="minorHAnsi" w:hAnsiTheme="minorHAnsi" w:cstheme="minorHAnsi"/>
        </w:rPr>
      </w:pPr>
      <w:r w:rsidRPr="00C76F5F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0A3089">
        <w:rPr>
          <w:rFonts w:asciiTheme="minorHAnsi" w:hAnsiTheme="minorHAnsi" w:cstheme="minorHAnsi"/>
          <w:bCs/>
          <w:sz w:val="24"/>
          <w:szCs w:val="24"/>
          <w:highlight w:val="green"/>
        </w:rPr>
        <w:t>[VYPLNÍ ÚČASTNÍK]</w:t>
      </w:r>
      <w:r w:rsidRPr="00C76F5F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r w:rsidRPr="000A3089">
        <w:rPr>
          <w:rFonts w:asciiTheme="minorHAnsi" w:hAnsiTheme="minorHAnsi" w:cstheme="minorHAnsi"/>
          <w:bCs/>
          <w:sz w:val="24"/>
          <w:szCs w:val="24"/>
          <w:highlight w:val="green"/>
        </w:rPr>
        <w:t>[VYPLNÍ ÚČASTNÍK]</w:t>
      </w:r>
    </w:p>
    <w:p w14:paraId="628BD569" w14:textId="77777777" w:rsidR="0066736C" w:rsidRPr="00D13743" w:rsidRDefault="0066736C" w:rsidP="0066736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13743">
        <w:rPr>
          <w:rFonts w:asciiTheme="minorHAnsi" w:hAnsiTheme="minorHAnsi" w:cstheme="minorHAnsi"/>
        </w:rPr>
        <w:t>podpis</w:t>
      </w:r>
    </w:p>
    <w:p w14:paraId="29871495" w14:textId="77777777" w:rsidR="0066736C" w:rsidRPr="00D13743" w:rsidRDefault="0066736C" w:rsidP="0066736C">
      <w:pPr>
        <w:tabs>
          <w:tab w:val="left" w:pos="284"/>
        </w:tabs>
        <w:spacing w:after="0"/>
        <w:jc w:val="right"/>
        <w:rPr>
          <w:rFonts w:asciiTheme="minorHAnsi" w:hAnsiTheme="minorHAnsi" w:cstheme="minorHAnsi"/>
          <w:bCs/>
          <w:i/>
        </w:rPr>
      </w:pPr>
      <w:r w:rsidRPr="00D13743">
        <w:rPr>
          <w:rFonts w:asciiTheme="minorHAnsi" w:hAnsiTheme="minorHAnsi" w:cstheme="minorHAnsi"/>
          <w:bCs/>
          <w:i/>
        </w:rPr>
        <w:t xml:space="preserve">[účastník doplní jméno, příjmení a titul </w:t>
      </w:r>
    </w:p>
    <w:p w14:paraId="5EF0B0BD" w14:textId="1B2EB5C0" w:rsidR="0066736C" w:rsidRDefault="0066736C" w:rsidP="00C14C9F">
      <w:pPr>
        <w:tabs>
          <w:tab w:val="left" w:pos="284"/>
        </w:tabs>
        <w:spacing w:after="0"/>
        <w:jc w:val="right"/>
      </w:pPr>
      <w:r w:rsidRPr="00D13743">
        <w:rPr>
          <w:rFonts w:asciiTheme="minorHAnsi" w:hAnsiTheme="minorHAnsi" w:cstheme="minorHAnsi"/>
          <w:bCs/>
          <w:i/>
        </w:rPr>
        <w:t>osoby oprávněné jednat jménem nebo za účastníka</w:t>
      </w:r>
      <w:r>
        <w:rPr>
          <w:rFonts w:ascii="Arial" w:hAnsi="Arial" w:cs="Arial"/>
          <w:bCs/>
          <w:i/>
        </w:rPr>
        <w:t>)</w:t>
      </w:r>
    </w:p>
    <w:sectPr w:rsidR="00667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5B9A" w14:textId="77777777" w:rsidR="00752802" w:rsidRDefault="00752802" w:rsidP="0066736C">
      <w:pPr>
        <w:spacing w:after="0" w:line="240" w:lineRule="auto"/>
      </w:pPr>
      <w:r>
        <w:separator/>
      </w:r>
    </w:p>
  </w:endnote>
  <w:endnote w:type="continuationSeparator" w:id="0">
    <w:p w14:paraId="0E809297" w14:textId="77777777" w:rsidR="00752802" w:rsidRDefault="00752802" w:rsidP="0066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FBF" w14:textId="77777777" w:rsidR="00C14C9F" w:rsidRDefault="00C14C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A954" w14:textId="77777777" w:rsidR="00C14C9F" w:rsidRDefault="00C14C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22B7" w14:textId="77777777" w:rsidR="00C14C9F" w:rsidRDefault="00C14C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786B" w14:textId="77777777" w:rsidR="00752802" w:rsidRDefault="00752802" w:rsidP="0066736C">
      <w:pPr>
        <w:spacing w:after="0" w:line="240" w:lineRule="auto"/>
      </w:pPr>
      <w:r>
        <w:separator/>
      </w:r>
    </w:p>
  </w:footnote>
  <w:footnote w:type="continuationSeparator" w:id="0">
    <w:p w14:paraId="336B7626" w14:textId="77777777" w:rsidR="00752802" w:rsidRDefault="00752802" w:rsidP="0066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DBE" w14:textId="77777777" w:rsidR="00C14C9F" w:rsidRDefault="00C14C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50A1" w14:textId="77777777" w:rsidR="0066736C" w:rsidRPr="0066736C" w:rsidRDefault="0066736C" w:rsidP="0066736C">
    <w:pPr>
      <w:spacing w:after="0" w:line="240" w:lineRule="auto"/>
      <w:rPr>
        <w:rFonts w:asciiTheme="minorHAnsi" w:hAnsiTheme="minorHAnsi"/>
        <w:sz w:val="20"/>
        <w:szCs w:val="20"/>
      </w:rPr>
    </w:pPr>
    <w:r w:rsidRPr="0066736C">
      <w:rPr>
        <w:rFonts w:asciiTheme="minorHAnsi" w:hAnsiTheme="minorHAnsi"/>
        <w:bCs/>
        <w:sz w:val="20"/>
        <w:szCs w:val="20"/>
      </w:rPr>
      <w:t>Zadávací dokumentace</w:t>
    </w:r>
    <w:r w:rsidRPr="0066736C">
      <w:rPr>
        <w:rFonts w:asciiTheme="minorHAnsi" w:hAnsiTheme="minorHAnsi"/>
        <w:sz w:val="20"/>
        <w:szCs w:val="20"/>
      </w:rPr>
      <w:t xml:space="preserve">:  FSV UK – IT vybavení (serverové a síťové prvky)  </w:t>
    </w:r>
  </w:p>
  <w:p w14:paraId="0F6E95FF" w14:textId="486A83FF" w:rsidR="0066736C" w:rsidRPr="0066736C" w:rsidRDefault="0066736C" w:rsidP="0066736C">
    <w:pPr>
      <w:pStyle w:val="Psmo2"/>
      <w:jc w:val="both"/>
      <w:rPr>
        <w:sz w:val="20"/>
        <w:szCs w:val="20"/>
      </w:rPr>
    </w:pPr>
    <w:r w:rsidRPr="0066736C">
      <w:rPr>
        <w:rFonts w:asciiTheme="minorHAnsi" w:hAnsiTheme="minorHAnsi"/>
        <w:sz w:val="20"/>
        <w:szCs w:val="20"/>
      </w:rPr>
      <w:t xml:space="preserve">Příloha č. </w:t>
    </w:r>
    <w:r w:rsidRPr="0066736C">
      <w:rPr>
        <w:sz w:val="20"/>
        <w:szCs w:val="20"/>
      </w:rPr>
      <w:t>4</w:t>
    </w:r>
    <w:r w:rsidRPr="0066736C">
      <w:rPr>
        <w:rFonts w:asciiTheme="minorHAnsi" w:hAnsiTheme="minorHAnsi"/>
        <w:sz w:val="20"/>
        <w:szCs w:val="20"/>
      </w:rPr>
      <w:t xml:space="preserve">: </w:t>
    </w:r>
    <w:r w:rsidRPr="0066736C">
      <w:rPr>
        <w:sz w:val="20"/>
        <w:szCs w:val="20"/>
      </w:rPr>
      <w:t xml:space="preserve"> </w:t>
    </w:r>
    <w:r w:rsidRPr="0066736C">
      <w:rPr>
        <w:sz w:val="20"/>
        <w:szCs w:val="20"/>
      </w:rPr>
      <w:t xml:space="preserve">Čestné prohlášení o splnění základní kvalifikace  </w:t>
    </w:r>
  </w:p>
  <w:p w14:paraId="5629B222" w14:textId="77777777" w:rsidR="0066736C" w:rsidRPr="0066736C" w:rsidRDefault="0066736C" w:rsidP="0066736C">
    <w:pPr>
      <w:pStyle w:val="Zhlav"/>
      <w:rPr>
        <w:sz w:val="20"/>
        <w:szCs w:val="20"/>
      </w:rPr>
    </w:pPr>
    <w:r w:rsidRPr="0066736C">
      <w:rPr>
        <w:rFonts w:asciiTheme="minorHAnsi" w:hAnsiTheme="minorHAnsi"/>
        <w:sz w:val="20"/>
        <w:szCs w:val="20"/>
      </w:rPr>
      <w:t>Reg. č.: CZ.02.2.67/0.0/0.0/16_016/0002336</w:t>
    </w:r>
  </w:p>
  <w:p w14:paraId="545295A8" w14:textId="77777777" w:rsidR="0066736C" w:rsidRDefault="006673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CCA1" w14:textId="77777777" w:rsidR="00C14C9F" w:rsidRDefault="00C14C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597"/>
    <w:multiLevelType w:val="hybridMultilevel"/>
    <w:tmpl w:val="2A847B26"/>
    <w:lvl w:ilvl="0" w:tplc="7B1C6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0EF9"/>
    <w:multiLevelType w:val="multilevel"/>
    <w:tmpl w:val="53428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1294"/>
    <w:multiLevelType w:val="multilevel"/>
    <w:tmpl w:val="C5D880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372D"/>
    <w:multiLevelType w:val="hybridMultilevel"/>
    <w:tmpl w:val="A2DAF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>
      <w:start w:val="1"/>
      <w:numFmt w:val="lowerRoman"/>
      <w:lvlText w:val="%3."/>
      <w:lvlJc w:val="right"/>
      <w:pPr>
        <w:ind w:left="2075" w:hanging="180"/>
      </w:pPr>
    </w:lvl>
    <w:lvl w:ilvl="3" w:tplc="0405000F">
      <w:start w:val="1"/>
      <w:numFmt w:val="decimal"/>
      <w:lvlText w:val="%4."/>
      <w:lvlJc w:val="left"/>
      <w:pPr>
        <w:ind w:left="2795" w:hanging="360"/>
      </w:pPr>
    </w:lvl>
    <w:lvl w:ilvl="4" w:tplc="04050019">
      <w:start w:val="1"/>
      <w:numFmt w:val="lowerLetter"/>
      <w:lvlText w:val="%5."/>
      <w:lvlJc w:val="left"/>
      <w:pPr>
        <w:ind w:left="3515" w:hanging="360"/>
      </w:pPr>
    </w:lvl>
    <w:lvl w:ilvl="5" w:tplc="0405001B">
      <w:start w:val="1"/>
      <w:numFmt w:val="lowerRoman"/>
      <w:lvlText w:val="%6."/>
      <w:lvlJc w:val="right"/>
      <w:pPr>
        <w:ind w:left="4235" w:hanging="180"/>
      </w:pPr>
    </w:lvl>
    <w:lvl w:ilvl="6" w:tplc="0405000F">
      <w:start w:val="1"/>
      <w:numFmt w:val="decimal"/>
      <w:lvlText w:val="%7."/>
      <w:lvlJc w:val="left"/>
      <w:pPr>
        <w:ind w:left="4955" w:hanging="360"/>
      </w:pPr>
    </w:lvl>
    <w:lvl w:ilvl="7" w:tplc="04050019">
      <w:start w:val="1"/>
      <w:numFmt w:val="lowerLetter"/>
      <w:lvlText w:val="%8."/>
      <w:lvlJc w:val="left"/>
      <w:pPr>
        <w:ind w:left="5675" w:hanging="360"/>
      </w:pPr>
    </w:lvl>
    <w:lvl w:ilvl="8" w:tplc="0405001B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6C"/>
    <w:rsid w:val="0066736C"/>
    <w:rsid w:val="00752802"/>
    <w:rsid w:val="00C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75188"/>
  <w15:chartTrackingRefBased/>
  <w15:docId w15:val="{F07CC35D-9304-4B12-83A2-F3EB62F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36C"/>
  </w:style>
  <w:style w:type="paragraph" w:styleId="Zpat">
    <w:name w:val="footer"/>
    <w:basedOn w:val="Normln"/>
    <w:link w:val="ZpatChar"/>
    <w:uiPriority w:val="99"/>
    <w:unhideWhenUsed/>
    <w:rsid w:val="0066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36C"/>
  </w:style>
  <w:style w:type="paragraph" w:customStyle="1" w:styleId="Psmo2">
    <w:name w:val="Písmo 2"/>
    <w:basedOn w:val="Seznam"/>
    <w:link w:val="Psmo2Char"/>
    <w:qFormat/>
    <w:rsid w:val="0066736C"/>
    <w:pPr>
      <w:suppressAutoHyphens/>
      <w:spacing w:after="0" w:line="240" w:lineRule="auto"/>
      <w:ind w:left="0" w:right="110" w:firstLine="0"/>
    </w:pPr>
    <w:rPr>
      <w:rFonts w:eastAsia="Times New Roman"/>
      <w:szCs w:val="24"/>
      <w:lang w:eastAsia="ar-SA"/>
    </w:rPr>
  </w:style>
  <w:style w:type="character" w:customStyle="1" w:styleId="Psmo2Char">
    <w:name w:val="Písmo 2 Char"/>
    <w:basedOn w:val="Standardnpsmoodstavce"/>
    <w:link w:val="Psmo2"/>
    <w:rsid w:val="0066736C"/>
    <w:rPr>
      <w:rFonts w:eastAsia="Times New Roman" w:cs="Times New Roman"/>
      <w:szCs w:val="24"/>
      <w:lang w:eastAsia="ar-SA"/>
    </w:rPr>
  </w:style>
  <w:style w:type="paragraph" w:styleId="Seznam">
    <w:name w:val="List"/>
    <w:basedOn w:val="Normln"/>
    <w:uiPriority w:val="99"/>
    <w:semiHidden/>
    <w:unhideWhenUsed/>
    <w:rsid w:val="0066736C"/>
    <w:pPr>
      <w:ind w:left="283" w:hanging="283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36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36C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736C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66736C"/>
    <w:pPr>
      <w:ind w:left="720"/>
      <w:contextualSpacing/>
    </w:pPr>
  </w:style>
  <w:style w:type="paragraph" w:customStyle="1" w:styleId="Default">
    <w:name w:val="Default"/>
    <w:rsid w:val="0066736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6673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JUDr. Jindra Pavlová</cp:lastModifiedBy>
  <cp:revision>1</cp:revision>
  <dcterms:created xsi:type="dcterms:W3CDTF">2022-03-08T10:10:00Z</dcterms:created>
  <dcterms:modified xsi:type="dcterms:W3CDTF">2022-03-08T10:19:00Z</dcterms:modified>
</cp:coreProperties>
</file>