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1FF5D" w14:textId="77777777" w:rsidR="00B464E3" w:rsidRDefault="00B464E3" w:rsidP="00DC097E">
      <w:pPr>
        <w:pStyle w:val="LogoHide"/>
        <w:jc w:val="both"/>
        <w:sectPr w:rsidR="00B464E3" w:rsidSect="00474105">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664" w:right="1111" w:bottom="1134" w:left="1259" w:header="283" w:footer="283" w:gutter="0"/>
          <w:cols w:space="720"/>
          <w:titlePg/>
          <w:docGrid w:linePitch="299"/>
        </w:sectPr>
      </w:pPr>
    </w:p>
    <w:p w14:paraId="4D1E5B77" w14:textId="77777777" w:rsidR="00C807E8" w:rsidRPr="00202D60" w:rsidRDefault="00D840B9" w:rsidP="00DC097E">
      <w:pPr>
        <w:pStyle w:val="Nadpis1"/>
        <w:numPr>
          <w:ilvl w:val="0"/>
          <w:numId w:val="0"/>
        </w:numPr>
        <w:jc w:val="both"/>
      </w:pPr>
      <w:r>
        <w:t xml:space="preserve">Příloha </w:t>
      </w:r>
      <w:proofErr w:type="gramStart"/>
      <w:r>
        <w:t>č.1</w:t>
      </w:r>
      <w:r w:rsidR="00DD5314">
        <w:t xml:space="preserve"> Pojistného</w:t>
      </w:r>
      <w:proofErr w:type="gramEnd"/>
      <w:r w:rsidR="00DD5314">
        <w:t xml:space="preserve"> programu</w:t>
      </w:r>
      <w:r>
        <w:t xml:space="preserve"> - </w:t>
      </w:r>
      <w:r w:rsidR="007D53AF" w:rsidRPr="00202D60">
        <w:t>Smluvní ujednání</w:t>
      </w:r>
    </w:p>
    <w:p w14:paraId="20A7C56A" w14:textId="77777777" w:rsidR="00DA71DA" w:rsidRPr="00202D60" w:rsidRDefault="00DA71DA" w:rsidP="00DC097E">
      <w:pPr>
        <w:pStyle w:val="Legalcopy"/>
        <w:jc w:val="both"/>
      </w:pPr>
    </w:p>
    <w:p w14:paraId="5F4D3D89" w14:textId="0E01D2A8" w:rsidR="00C807E8" w:rsidRDefault="00C807E8" w:rsidP="00915B6F">
      <w:pPr>
        <w:spacing w:after="240"/>
        <w:jc w:val="both"/>
      </w:pPr>
      <w:r w:rsidRPr="009930D9">
        <w:t>Ujednává se, že pokud jsou níže uvedená smluvní ujednání v rozporu s přiloženými VPP, ZPP, doložkami pojistitele</w:t>
      </w:r>
      <w:r w:rsidR="00F266CF" w:rsidRPr="009930D9">
        <w:t xml:space="preserve"> a ujednáními v pojistné smlouvě</w:t>
      </w:r>
      <w:r w:rsidRPr="009930D9">
        <w:t>, pak mají</w:t>
      </w:r>
      <w:r w:rsidR="002B1B52" w:rsidRPr="009930D9">
        <w:t xml:space="preserve"> tato smluvní ujednání přednost</w:t>
      </w:r>
      <w:r w:rsidR="00964E28" w:rsidRPr="009930D9">
        <w:t xml:space="preserve"> </w:t>
      </w:r>
      <w:r w:rsidRPr="009930D9">
        <w:t>před ustanoveními přiložených VPP,</w:t>
      </w:r>
      <w:r w:rsidR="00AC3F6C" w:rsidRPr="009930D9">
        <w:t xml:space="preserve"> ZPP, doložek apod. pojistitele</w:t>
      </w:r>
      <w:r w:rsidR="000E1959" w:rsidRPr="009930D9">
        <w:t>, pokud není pro pojištěného výhodnější ujednání v</w:t>
      </w:r>
      <w:r w:rsidR="009B1C52" w:rsidRPr="009930D9">
        <w:t>e</w:t>
      </w:r>
      <w:r w:rsidR="000E1959" w:rsidRPr="009930D9">
        <w:t> </w:t>
      </w:r>
      <w:r w:rsidR="00AF53C7" w:rsidRPr="009930D9">
        <w:t xml:space="preserve">VPP, ZPP, doložkách pojistitele a v </w:t>
      </w:r>
      <w:r w:rsidR="000E1959" w:rsidRPr="009930D9">
        <w:t>pojistné smlouvě</w:t>
      </w:r>
      <w:r w:rsidR="007A07BD">
        <w:t>.</w:t>
      </w:r>
    </w:p>
    <w:p w14:paraId="313E9C4B" w14:textId="77777777" w:rsidR="00542183" w:rsidRPr="009930D9" w:rsidRDefault="00542183" w:rsidP="00542183">
      <w:pPr>
        <w:pStyle w:val="Nadpis1"/>
        <w:numPr>
          <w:ilvl w:val="0"/>
          <w:numId w:val="0"/>
        </w:numPr>
        <w:jc w:val="both"/>
      </w:pPr>
      <w:r w:rsidRPr="009930D9">
        <w:t>OBECNÉ</w:t>
      </w:r>
    </w:p>
    <w:p w14:paraId="49FEB5D3" w14:textId="77777777" w:rsidR="00563B7A" w:rsidRPr="009930D9" w:rsidRDefault="00563B7A" w:rsidP="00DC097E">
      <w:pPr>
        <w:pStyle w:val="Nadpis3"/>
        <w:jc w:val="both"/>
      </w:pPr>
      <w:r w:rsidRPr="009930D9">
        <w:t>Makléřská doložka</w:t>
      </w:r>
    </w:p>
    <w:p w14:paraId="4B922B8E" w14:textId="64A44484" w:rsidR="00563B7A" w:rsidRDefault="00563B7A" w:rsidP="00DC097E">
      <w:pPr>
        <w:jc w:val="both"/>
      </w:pPr>
      <w:r w:rsidRPr="009930D9">
        <w:t xml:space="preserve">Pojištění je </w:t>
      </w:r>
      <w:r w:rsidR="007A07BD">
        <w:t xml:space="preserve">sjednáno a </w:t>
      </w:r>
      <w:r w:rsidRPr="009930D9">
        <w:t>spravováno prostřednictvím zplnom</w:t>
      </w:r>
      <w:r w:rsidR="007D53AF" w:rsidRPr="009930D9">
        <w:t>ocněného makléře MARSH, s.r.o.,</w:t>
      </w:r>
      <w:r w:rsidR="00964E28" w:rsidRPr="009930D9">
        <w:t xml:space="preserve"> </w:t>
      </w:r>
      <w:r w:rsidR="00A828AA" w:rsidRPr="009930D9">
        <w:t xml:space="preserve">se sídlem </w:t>
      </w:r>
      <w:r w:rsidR="005C7337" w:rsidRPr="009930D9">
        <w:t>Vinohradská 2828/151, 130 00 Praha 3</w:t>
      </w:r>
      <w:r w:rsidR="00D0264E" w:rsidRPr="009930D9">
        <w:t>, IČ</w:t>
      </w:r>
      <w:r w:rsidR="00AD6B76" w:rsidRPr="009930D9">
        <w:t>O</w:t>
      </w:r>
      <w:r w:rsidR="00D0264E" w:rsidRPr="009930D9">
        <w:t>: 45306541</w:t>
      </w:r>
      <w:r w:rsidR="00A828AA" w:rsidRPr="009930D9">
        <w:t>.</w:t>
      </w:r>
      <w:r w:rsidRPr="009930D9">
        <w:t xml:space="preserve"> Veškeré </w:t>
      </w:r>
      <w:r w:rsidR="009F6891" w:rsidRPr="009930D9">
        <w:t xml:space="preserve">jednání </w:t>
      </w:r>
      <w:r w:rsidR="002B1B52" w:rsidRPr="009930D9">
        <w:t>související</w:t>
      </w:r>
      <w:r w:rsidR="00964E28" w:rsidRPr="009930D9">
        <w:t xml:space="preserve"> </w:t>
      </w:r>
      <w:r w:rsidRPr="009930D9">
        <w:t>s touto pojistnou smlouvou jsou prováděny výhradně prostřednictvím zplnom</w:t>
      </w:r>
      <w:r w:rsidR="004447E7">
        <w:t>ocněného makléře</w:t>
      </w:r>
      <w:r w:rsidR="004447E7">
        <w:br/>
      </w:r>
      <w:r w:rsidR="007A07BD">
        <w:t>MARSH, s.r.o.</w:t>
      </w:r>
    </w:p>
    <w:p w14:paraId="24F5BE6D" w14:textId="77777777" w:rsidR="007A07BD" w:rsidRPr="009930D9" w:rsidRDefault="007A07BD" w:rsidP="00DC097E">
      <w:pPr>
        <w:jc w:val="both"/>
      </w:pPr>
    </w:p>
    <w:p w14:paraId="419DC080" w14:textId="77777777" w:rsidR="00BF295B" w:rsidRPr="009930D9" w:rsidRDefault="00BF295B" w:rsidP="00BF295B">
      <w:pPr>
        <w:pStyle w:val="Nadpis3"/>
        <w:numPr>
          <w:ilvl w:val="0"/>
          <w:numId w:val="0"/>
        </w:numPr>
        <w:jc w:val="both"/>
      </w:pPr>
      <w:r w:rsidRPr="009930D9">
        <w:t xml:space="preserve">Předmět pojištění budovy a stavby </w:t>
      </w:r>
    </w:p>
    <w:p w14:paraId="21CA8BCE" w14:textId="1357BC1E" w:rsidR="00F26D90" w:rsidRPr="00630F2D" w:rsidRDefault="00BF295B" w:rsidP="00F26D90">
      <w:pPr>
        <w:autoSpaceDE w:val="0"/>
        <w:autoSpaceDN w:val="0"/>
        <w:adjustRightInd w:val="0"/>
        <w:jc w:val="both"/>
        <w:rPr>
          <w:szCs w:val="22"/>
        </w:rPr>
      </w:pPr>
      <w:r w:rsidRPr="009930D9">
        <w:t>Ujednává se, že v případě pojištění předmětu pojištění budov</w:t>
      </w:r>
      <w:r w:rsidR="0020348C" w:rsidRPr="009930D9">
        <w:t xml:space="preserve">, hal a ostatních </w:t>
      </w:r>
      <w:r w:rsidRPr="009930D9">
        <w:t>stav</w:t>
      </w:r>
      <w:r w:rsidR="0020348C" w:rsidRPr="009930D9">
        <w:t>e</w:t>
      </w:r>
      <w:r w:rsidRPr="009930D9">
        <w:t>b a/nebo soubor budov</w:t>
      </w:r>
      <w:r w:rsidR="0020348C" w:rsidRPr="009930D9">
        <w:t xml:space="preserve">, hal a ostatních </w:t>
      </w:r>
      <w:r w:rsidRPr="009930D9">
        <w:t>staveb se pojištění vztahuje i na budovy, haly, stavby, dřevostavby a ostatní stavby</w:t>
      </w:r>
      <w:r w:rsidR="0020348C" w:rsidRPr="009930D9">
        <w:t xml:space="preserve"> </w:t>
      </w:r>
      <w:r w:rsidRPr="009930D9">
        <w:t>vč. stavebních součástí (vnitřních i vnějších) a věci na vnější straně nemovitosti (markýzy, apod.) a příslušenství, strojní a elektronické součásti budov a staveb (např. instalace elektro, vody, topení, plynu, výtahů, EZS, EPS, vnější a vnitřní kamerový systém, antény, dešťové svody, apod.), energetických zařízení (trafostanice, vý</w:t>
      </w:r>
      <w:r w:rsidR="0020348C" w:rsidRPr="009930D9">
        <w:t xml:space="preserve">měníkové stanice), </w:t>
      </w:r>
      <w:proofErr w:type="spellStart"/>
      <w:r w:rsidR="0020348C" w:rsidRPr="009930D9">
        <w:t>termosolární</w:t>
      </w:r>
      <w:proofErr w:type="spellEnd"/>
      <w:r w:rsidR="00964E28" w:rsidRPr="009930D9">
        <w:t xml:space="preserve"> </w:t>
      </w:r>
      <w:r w:rsidRPr="009930D9">
        <w:t xml:space="preserve">a </w:t>
      </w:r>
      <w:proofErr w:type="spellStart"/>
      <w:r w:rsidRPr="009930D9">
        <w:t>fotovoltaické</w:t>
      </w:r>
      <w:proofErr w:type="spellEnd"/>
      <w:r w:rsidRPr="009930D9">
        <w:t xml:space="preserve"> systémy</w:t>
      </w:r>
      <w:r w:rsidR="0020348C" w:rsidRPr="009930D9">
        <w:t>, technické vybavení</w:t>
      </w:r>
      <w:r w:rsidRPr="009930D9">
        <w:t>,</w:t>
      </w:r>
      <w:r w:rsidR="0020348C" w:rsidRPr="009930D9">
        <w:t xml:space="preserve"> technické zhodnocení, zpevněné </w:t>
      </w:r>
      <w:r w:rsidRPr="009930D9">
        <w:t>a uměl</w:t>
      </w:r>
      <w:r w:rsidR="00964E28" w:rsidRPr="009930D9">
        <w:t xml:space="preserve">é plochy (včetně hřišť, tartanů </w:t>
      </w:r>
      <w:r w:rsidRPr="009930D9">
        <w:t>a dalších povrchů), komunik</w:t>
      </w:r>
      <w:r w:rsidR="0020348C" w:rsidRPr="009930D9">
        <w:t xml:space="preserve">ace, stožáry, oplocení, terénní </w:t>
      </w:r>
      <w:r w:rsidRPr="009930D9">
        <w:t xml:space="preserve">a venkovní úpravy, inženýrské sítě, rozvodné sítě, mostky, lavičky, veřejné osvětlení apod. v rámci areálu, soubor investic, apod. </w:t>
      </w:r>
      <w:r w:rsidR="00F26D90" w:rsidRPr="00630F2D">
        <w:rPr>
          <w:szCs w:val="22"/>
        </w:rPr>
        <w:t>Pojištění se vztahuje na pevně spojené (tj. i přišroubovan</w:t>
      </w:r>
      <w:r w:rsidR="00F26D90">
        <w:rPr>
          <w:szCs w:val="22"/>
        </w:rPr>
        <w:t xml:space="preserve">é) součásti budov (např. okapy, </w:t>
      </w:r>
      <w:r w:rsidR="00F26D90" w:rsidRPr="00630F2D">
        <w:rPr>
          <w:szCs w:val="22"/>
        </w:rPr>
        <w:t>parapety, baterie, hromosvody apod.), bez za</w:t>
      </w:r>
      <w:r w:rsidR="00F26D90">
        <w:rPr>
          <w:szCs w:val="22"/>
        </w:rPr>
        <w:t>bezpečení zámkem nebo oplocením tzn. bez překonání překážek.</w:t>
      </w:r>
    </w:p>
    <w:p w14:paraId="725A8558" w14:textId="77777777" w:rsidR="00BF295B" w:rsidRPr="009930D9" w:rsidRDefault="00BF295B" w:rsidP="00BF295B">
      <w:pPr>
        <w:pStyle w:val="Nadpis3"/>
        <w:numPr>
          <w:ilvl w:val="0"/>
          <w:numId w:val="0"/>
        </w:numPr>
        <w:jc w:val="both"/>
      </w:pPr>
      <w:r w:rsidRPr="009930D9">
        <w:t>Budovy a stavby ve zvláštním režimu</w:t>
      </w:r>
    </w:p>
    <w:p w14:paraId="15BA75EF" w14:textId="3061B1E0" w:rsidR="00BF295B" w:rsidRPr="009930D9" w:rsidRDefault="00BF295B" w:rsidP="00BF295B">
      <w:pPr>
        <w:jc w:val="both"/>
      </w:pPr>
      <w:r w:rsidRPr="009930D9">
        <w:t>Ujednává se, že se pojištění vztahuje i na budovy a stavby historické nebo památkově chráněné, opuštěné, neobývané, ve výstavbě, v režimu předčasného u</w:t>
      </w:r>
      <w:r w:rsidR="00964E28" w:rsidRPr="009930D9">
        <w:t xml:space="preserve">žívání, před kolaudací, jakož i </w:t>
      </w:r>
      <w:r w:rsidRPr="009930D9">
        <w:t xml:space="preserve">na movité věci, zásoby a další předměty pojištění zde umístěné ve standardním nebo zkušebním provozu. Jakákoli omezení v pojistných podmínkách pro tyto druhy budov a staveb se neuplatní. </w:t>
      </w:r>
    </w:p>
    <w:p w14:paraId="34F750B8" w14:textId="0EE06502" w:rsidR="00F26D90" w:rsidRPr="00630F2D" w:rsidRDefault="00BF295B" w:rsidP="00F26D90">
      <w:pPr>
        <w:autoSpaceDE w:val="0"/>
        <w:autoSpaceDN w:val="0"/>
        <w:adjustRightInd w:val="0"/>
        <w:spacing w:before="0"/>
        <w:jc w:val="both"/>
        <w:rPr>
          <w:szCs w:val="22"/>
        </w:rPr>
      </w:pPr>
      <w:r w:rsidRPr="009930D9">
        <w:t xml:space="preserve">U historických nebo památkově chráněných budov a staveb se </w:t>
      </w:r>
      <w:r w:rsidR="00964E28" w:rsidRPr="009930D9">
        <w:t xml:space="preserve">pojištění vztahuje i na náklady </w:t>
      </w:r>
      <w:r w:rsidRPr="009930D9">
        <w:t>na opravu nebo zhotovení umělecké nebo uměleckořemeslné kopie výzdoby budov a staveb (nástěnné malby, fresky, dveře, skládané podlahy, obložení, kachlová kamna, varhany, apod.)</w:t>
      </w:r>
      <w:r w:rsidR="0020348C" w:rsidRPr="009930D9">
        <w:t>.</w:t>
      </w:r>
      <w:r w:rsidR="00F26D90" w:rsidRPr="00F26D90">
        <w:rPr>
          <w:szCs w:val="22"/>
        </w:rPr>
        <w:t xml:space="preserve"> </w:t>
      </w:r>
      <w:r w:rsidR="00F26D90" w:rsidRPr="00630F2D">
        <w:rPr>
          <w:szCs w:val="22"/>
        </w:rPr>
        <w:t>Pojištění se vztahuje na pevně spojené (tj. i přišroubovan</w:t>
      </w:r>
      <w:r w:rsidR="00F26D90">
        <w:rPr>
          <w:szCs w:val="22"/>
        </w:rPr>
        <w:t xml:space="preserve">é) součásti budov (např. okapy, </w:t>
      </w:r>
      <w:r w:rsidR="00F26D90" w:rsidRPr="00630F2D">
        <w:rPr>
          <w:szCs w:val="22"/>
        </w:rPr>
        <w:t>parapety, baterie, hromosvody apod.), bez za</w:t>
      </w:r>
      <w:r w:rsidR="00F26D90">
        <w:rPr>
          <w:szCs w:val="22"/>
        </w:rPr>
        <w:t>bezpečení zámkem nebo oplocením tzn. bez překonání překážek.</w:t>
      </w:r>
    </w:p>
    <w:p w14:paraId="353648B1" w14:textId="77777777" w:rsidR="00BF295B" w:rsidRPr="009930D9" w:rsidRDefault="00B92125" w:rsidP="00BF295B">
      <w:pPr>
        <w:pStyle w:val="Nadpis3"/>
        <w:numPr>
          <w:ilvl w:val="0"/>
          <w:numId w:val="0"/>
        </w:numPr>
        <w:jc w:val="both"/>
      </w:pPr>
      <w:r w:rsidRPr="009930D9">
        <w:t>Předmět pojištění movité věci; Pojištění zásob</w:t>
      </w:r>
    </w:p>
    <w:p w14:paraId="7E8F8CEF" w14:textId="54CB678A" w:rsidR="00BF295B" w:rsidRPr="009930D9" w:rsidRDefault="00BF295B" w:rsidP="00BF295B">
      <w:pPr>
        <w:jc w:val="both"/>
      </w:pPr>
      <w:r w:rsidRPr="009930D9">
        <w:t>Ujednává se, že v případě pojištění předmětu pojištění soubor movitých věcí se pojištění vztahuje i na vlastní a cizí (včetně věcí vnesených) přístroje, stroje, zařízení, elektroniku, vybavení, inventář (vč. DDHM), věci umělecké a historické hodnoty, sbírky, mod</w:t>
      </w:r>
      <w:r w:rsidR="0020348C" w:rsidRPr="009930D9">
        <w:t>e</w:t>
      </w:r>
      <w:r w:rsidRPr="009930D9">
        <w:t>ly a simulátor</w:t>
      </w:r>
      <w:r w:rsidR="0020348C" w:rsidRPr="009930D9">
        <w:t>y</w:t>
      </w:r>
      <w:r w:rsidR="0042535A" w:rsidRPr="009930D9">
        <w:t xml:space="preserve"> včetně SW</w:t>
      </w:r>
      <w:r w:rsidR="00964E28" w:rsidRPr="009930D9">
        <w:t xml:space="preserve"> </w:t>
      </w:r>
      <w:r w:rsidRPr="009930D9">
        <w:t xml:space="preserve">(např. člověka, novorozence apod.), vzorky, prototypy, exponáty, písemnosti, plány, </w:t>
      </w:r>
      <w:r w:rsidR="007D53AF" w:rsidRPr="009930D9">
        <w:t>výkresy, k</w:t>
      </w:r>
      <w:r w:rsidRPr="009930D9">
        <w:t>nihy</w:t>
      </w:r>
      <w:r w:rsidR="007D53AF" w:rsidRPr="009930D9">
        <w:t>, vzácné tisky</w:t>
      </w:r>
      <w:r w:rsidRPr="009930D9">
        <w:t xml:space="preserve"> a časopisy, nosiče dat, software, DHIM a ostatní věci movité vedené v účetní, operativní či jiné evidenci</w:t>
      </w:r>
      <w:r w:rsidR="00964E28" w:rsidRPr="009930D9">
        <w:t>; a zásoby.</w:t>
      </w:r>
    </w:p>
    <w:p w14:paraId="641E9679" w14:textId="77777777" w:rsidR="00B92125" w:rsidRPr="009930D9" w:rsidRDefault="00B92125" w:rsidP="00964E28">
      <w:pPr>
        <w:spacing w:before="0"/>
        <w:jc w:val="both"/>
      </w:pPr>
      <w:r w:rsidRPr="009930D9">
        <w:t>Ujednává se, že se pojištění vztahuje také na spotřební materiál (zvířata např. laboratorní myši, potkani, prasata, kozy apod., krmivo) účtovaný na analytickém účtu 5011318, tj. spotřební materiál.</w:t>
      </w:r>
    </w:p>
    <w:p w14:paraId="2E8B9B7D" w14:textId="77777777" w:rsidR="00BF295B" w:rsidRPr="009930D9" w:rsidRDefault="00BF295B" w:rsidP="00BF295B">
      <w:pPr>
        <w:pStyle w:val="Nadpis3"/>
        <w:numPr>
          <w:ilvl w:val="0"/>
          <w:numId w:val="0"/>
        </w:numPr>
        <w:jc w:val="both"/>
      </w:pPr>
      <w:r w:rsidRPr="009930D9">
        <w:lastRenderedPageBreak/>
        <w:t>Pojištění věcí na volném prostranství</w:t>
      </w:r>
    </w:p>
    <w:p w14:paraId="3CD8C8C0" w14:textId="77777777" w:rsidR="00BF295B" w:rsidRPr="009930D9" w:rsidRDefault="00BF295B" w:rsidP="00BF295B">
      <w:pPr>
        <w:jc w:val="both"/>
      </w:pPr>
      <w:r w:rsidRPr="009930D9">
        <w:t xml:space="preserve">Ujednává se, že jsou pojištěny na všechna pojištěná pojistná nebezpečí i movité věci a zásoby, které jsou umístěné na volném prostranství. Za movité věci na volném prostranství jsou považovány i dočasné </w:t>
      </w:r>
      <w:r w:rsidR="00C107CF" w:rsidRPr="009930D9">
        <w:t>stavby, přístřešky, stany apod.</w:t>
      </w:r>
    </w:p>
    <w:p w14:paraId="639A4C62" w14:textId="77777777" w:rsidR="00F44818" w:rsidRPr="009930D9" w:rsidRDefault="00F44818" w:rsidP="00F44818">
      <w:pPr>
        <w:pStyle w:val="Nadpis3"/>
        <w:numPr>
          <w:ilvl w:val="0"/>
          <w:numId w:val="0"/>
        </w:numPr>
        <w:jc w:val="both"/>
      </w:pPr>
      <w:r w:rsidRPr="009930D9">
        <w:t>Věci zvláštní umělecké hodnoty, sbírky, starožitnosti apod.</w:t>
      </w:r>
    </w:p>
    <w:p w14:paraId="31713540" w14:textId="6085E7D7" w:rsidR="00F44818" w:rsidRPr="009930D9" w:rsidRDefault="00F44818" w:rsidP="00F44818">
      <w:pPr>
        <w:jc w:val="both"/>
        <w:rPr>
          <w:sz w:val="20"/>
        </w:rPr>
      </w:pPr>
      <w:r w:rsidRPr="009930D9">
        <w:t>Pojistitel bude v případě souboru věcí zvláštní hodnoty, sbírek, starožitností, uměleckých předmětů, historických budov apod. akceptovat cenu dl</w:t>
      </w:r>
      <w:r w:rsidR="00964E28" w:rsidRPr="009930D9">
        <w:t xml:space="preserve">e znaleckých posudků </w:t>
      </w:r>
      <w:r w:rsidRPr="009930D9">
        <w:t>pojištěného</w:t>
      </w:r>
      <w:r w:rsidR="00202D60" w:rsidRPr="009930D9">
        <w:t xml:space="preserve"> vyjma škod do částky 100 000 Kč, u kterých není vyžadován znalecký posudek.</w:t>
      </w:r>
    </w:p>
    <w:p w14:paraId="5F14B66F" w14:textId="77777777" w:rsidR="00CD474E" w:rsidRPr="009930D9" w:rsidRDefault="00273AE8" w:rsidP="00CD474E">
      <w:pPr>
        <w:pStyle w:val="Nadpis3"/>
        <w:numPr>
          <w:ilvl w:val="0"/>
          <w:numId w:val="0"/>
        </w:numPr>
        <w:jc w:val="both"/>
      </w:pPr>
      <w:r w:rsidRPr="009930D9">
        <w:t>Místa pojištění – území České republiky</w:t>
      </w:r>
    </w:p>
    <w:p w14:paraId="38A7A687" w14:textId="298B4230" w:rsidR="00CD474E" w:rsidRPr="009930D9" w:rsidRDefault="00CD474E" w:rsidP="00CD474E">
      <w:pPr>
        <w:jc w:val="both"/>
      </w:pPr>
      <w:r w:rsidRPr="009930D9">
        <w:t xml:space="preserve">Ujednává se, že pro místa, </w:t>
      </w:r>
      <w:r w:rsidR="00964E28" w:rsidRPr="009930D9">
        <w:t xml:space="preserve">na kterých </w:t>
      </w:r>
      <w:r w:rsidRPr="009930D9">
        <w:t>se nachází pojiště</w:t>
      </w:r>
      <w:r w:rsidR="00964E28" w:rsidRPr="009930D9">
        <w:t xml:space="preserve">ný vlastní majetek </w:t>
      </w:r>
      <w:r w:rsidRPr="009930D9">
        <w:t>pojištěného</w:t>
      </w:r>
      <w:r w:rsidR="00964E28" w:rsidRPr="009930D9">
        <w:t xml:space="preserve"> </w:t>
      </w:r>
      <w:r w:rsidRPr="009930D9">
        <w:t xml:space="preserve">a pojištěný majetek po právu užívaný včetně nedokončených investic, majetku ve zkušebním provozu apod., neuvedená v pojistné smlouvě, je místem pojištění </w:t>
      </w:r>
      <w:r w:rsidR="00964E28" w:rsidRPr="009930D9">
        <w:t xml:space="preserve">plošné </w:t>
      </w:r>
      <w:r w:rsidRPr="009930D9">
        <w:t>České republiky</w:t>
      </w:r>
      <w:r w:rsidR="00895245" w:rsidRPr="009930D9">
        <w:t>, pokud není uvedeno jinak</w:t>
      </w:r>
      <w:r w:rsidRPr="009930D9">
        <w:t>.</w:t>
      </w:r>
      <w:r w:rsidR="00964E28" w:rsidRPr="009930D9">
        <w:t xml:space="preserve"> </w:t>
      </w:r>
      <w:r w:rsidRPr="009930D9">
        <w:t>U takových míst musí být v případě pojistné události písemně prokazatelné, že se na nich v době pojistné události nacházel předmět pojištění (např. listem vlastnictví, nájemní smlouvou, evidencí majetku apod.) nebo se prokáže, že na těchto místech byla prováděna obchodní nebo jiná činnost. Toto ujednání se vztahuje i na pojištěný majetek, který pojištěný zapůjčil třetím stranám na základě smlouvy.</w:t>
      </w:r>
      <w:r w:rsidR="00B92125" w:rsidRPr="009930D9">
        <w:t xml:space="preserve"> Za místo pojištění se považuje také byt zaměstnance případně jiné místo pobytu zaměstnance.</w:t>
      </w:r>
    </w:p>
    <w:p w14:paraId="12AC5998" w14:textId="77777777" w:rsidR="00536B42" w:rsidRPr="009930D9" w:rsidRDefault="00536B42" w:rsidP="00536B42">
      <w:pPr>
        <w:pStyle w:val="Nadpis3"/>
        <w:numPr>
          <w:ilvl w:val="0"/>
          <w:numId w:val="0"/>
        </w:numPr>
        <w:jc w:val="both"/>
      </w:pPr>
      <w:r w:rsidRPr="009930D9">
        <w:t>Zachraňovací náklady</w:t>
      </w:r>
    </w:p>
    <w:p w14:paraId="78F5D9CF" w14:textId="77777777" w:rsidR="00536B42" w:rsidRPr="009930D9" w:rsidRDefault="00A651A7" w:rsidP="00536B42">
      <w:pPr>
        <w:jc w:val="both"/>
      </w:pPr>
      <w:r w:rsidRPr="009930D9">
        <w:t>Ujednává</w:t>
      </w:r>
      <w:r w:rsidR="00536B42" w:rsidRPr="009930D9">
        <w:t xml:space="preserve"> se</w:t>
      </w:r>
      <w:r w:rsidRPr="009930D9">
        <w:t>, že se</w:t>
      </w:r>
      <w:r w:rsidR="00536B42" w:rsidRPr="009930D9">
        <w:t xml:space="preserve"> pojištění vztahuje také na zachraňovací náklady až do výše 10 % ze sjednané pojistné částky pojištěné věci nebo příslušného limitu plnění, není-li v pojistných podmínkách, smluvních ujednáních či smlouvě uveden limit vyšší; zachraňovací náklady na záchranu života nebo zdraví osob jsou hrazeny až do výše pojistné částky pojištěné věci nebo příslušného limitu plnění. Tyto náklady jsou hrazeny nad ujednanou horní hranici pojistné částky / limitu plnění.</w:t>
      </w:r>
    </w:p>
    <w:p w14:paraId="0AB1BFE1" w14:textId="77777777" w:rsidR="00666E90" w:rsidRPr="009930D9" w:rsidRDefault="00536B42" w:rsidP="00536B42">
      <w:pPr>
        <w:pStyle w:val="Nadpis3"/>
        <w:numPr>
          <w:ilvl w:val="0"/>
          <w:numId w:val="0"/>
        </w:numPr>
        <w:jc w:val="both"/>
      </w:pPr>
      <w:r w:rsidRPr="009930D9">
        <w:t>Náklady na dokumentaci a likvidaci pojistné události</w:t>
      </w:r>
    </w:p>
    <w:p w14:paraId="601AE0F2" w14:textId="1D5A82CE" w:rsidR="00536B42" w:rsidRPr="009930D9" w:rsidRDefault="007346C4" w:rsidP="00396DE4">
      <w:pPr>
        <w:jc w:val="both"/>
      </w:pPr>
      <w:r w:rsidRPr="009930D9">
        <w:t>Ujednává se, že se pojištění</w:t>
      </w:r>
      <w:r w:rsidR="00536B42" w:rsidRPr="009930D9">
        <w:t xml:space="preserve"> vztahuje i na přiměřené a doložitelné náklady a vícenáklady, které pojištěný nebo jeho zástupce vynaloží na přípravu, dokladování, ověřování nebo zdokumentování pojistné události, na kterou se vztahuje tato pojistná smlouva. Takovéto náklady zahrnují mzdové prostředky a s nimi spojené režijní náklady vynaložené pojištěným či jeho zástupcem (např. příplatky za přesčasovou práci, práci v noci, o víkendech </w:t>
      </w:r>
      <w:r w:rsidR="007D53AF" w:rsidRPr="009930D9">
        <w:t>a zákonem stanovených svátcích,</w:t>
      </w:r>
      <w:r w:rsidR="00895245" w:rsidRPr="009930D9">
        <w:t xml:space="preserve"> </w:t>
      </w:r>
      <w:r w:rsidR="00536B42" w:rsidRPr="009930D9">
        <w:t>za přednostní zpracování, výrobu, dodání, pronájem, za s</w:t>
      </w:r>
      <w:r w:rsidR="007D53AF" w:rsidRPr="009930D9">
        <w:t>pěšnou přepravu včetně letecké)</w:t>
      </w:r>
      <w:r w:rsidR="00895245" w:rsidRPr="009930D9">
        <w:t xml:space="preserve"> </w:t>
      </w:r>
      <w:r w:rsidR="00536B42" w:rsidRPr="009930D9">
        <w:t>a rovněž další náklad</w:t>
      </w:r>
      <w:r w:rsidR="00A651A7" w:rsidRPr="009930D9">
        <w:t xml:space="preserve">y na externí účetní, poradce, </w:t>
      </w:r>
      <w:r w:rsidR="00536B42" w:rsidRPr="009930D9">
        <w:t>konzultanty</w:t>
      </w:r>
      <w:r w:rsidR="00A651A7" w:rsidRPr="009930D9">
        <w:t xml:space="preserve"> a náklady vynaložené makléřem při přípravě a likvidaci pojistné události.</w:t>
      </w:r>
    </w:p>
    <w:p w14:paraId="02348553" w14:textId="77777777" w:rsidR="00536B42" w:rsidRPr="009930D9" w:rsidRDefault="00441196" w:rsidP="00DC097E">
      <w:pPr>
        <w:pStyle w:val="Nadpis3"/>
        <w:numPr>
          <w:ilvl w:val="0"/>
          <w:numId w:val="0"/>
        </w:numPr>
        <w:jc w:val="both"/>
      </w:pPr>
      <w:r w:rsidRPr="009930D9">
        <w:t xml:space="preserve">Náklady v souvislosti </w:t>
      </w:r>
      <w:r w:rsidR="00666E90" w:rsidRPr="009930D9">
        <w:t>s legislativními změnami</w:t>
      </w:r>
    </w:p>
    <w:p w14:paraId="33EB79B9" w14:textId="77777777" w:rsidR="00AE23E9" w:rsidRPr="009930D9" w:rsidRDefault="007346C4" w:rsidP="00396DE4">
      <w:pPr>
        <w:jc w:val="both"/>
      </w:pPr>
      <w:r w:rsidRPr="009930D9">
        <w:t xml:space="preserve">Ujednává se, že se pojištění vztahuje </w:t>
      </w:r>
      <w:r w:rsidR="00AE23E9" w:rsidRPr="009930D9">
        <w:t>i na zvýšené náklady v důsledku změny legislativy, obecně závazných předpisů, norem apod., pokud je pojištěný při odstraňování následků po pojistné události takové náklady povinen vynaložit.</w:t>
      </w:r>
    </w:p>
    <w:p w14:paraId="62A133DA" w14:textId="77777777" w:rsidR="007D53AF" w:rsidRPr="009930D9" w:rsidRDefault="007D53AF" w:rsidP="007D53AF">
      <w:pPr>
        <w:pStyle w:val="Nadpis3"/>
        <w:numPr>
          <w:ilvl w:val="0"/>
          <w:numId w:val="0"/>
        </w:numPr>
        <w:jc w:val="both"/>
      </w:pPr>
      <w:r w:rsidRPr="009930D9">
        <w:t>Náklady na obnovu dat a dokumentace</w:t>
      </w:r>
    </w:p>
    <w:p w14:paraId="5D4F10D4" w14:textId="1DC2DF0D" w:rsidR="007D53AF" w:rsidRPr="009930D9" w:rsidRDefault="007D53AF" w:rsidP="007D53AF">
      <w:pPr>
        <w:jc w:val="both"/>
      </w:pPr>
      <w:r w:rsidRPr="009930D9">
        <w:t>Pojištění se vztahuje i na náklady, které pojištěný vynaloží na obnovu dat, databází, softwaru, plánů, záznamů, písemností a jiných dokumentů poškozených nebo zničených v</w:t>
      </w:r>
      <w:r w:rsidR="00895245" w:rsidRPr="009930D9">
        <w:t> </w:t>
      </w:r>
      <w:r w:rsidRPr="009930D9">
        <w:t>souvislost</w:t>
      </w:r>
      <w:r w:rsidR="00964E28" w:rsidRPr="009930D9">
        <w:t>i</w:t>
      </w:r>
      <w:r w:rsidR="00895245" w:rsidRPr="009930D9">
        <w:t xml:space="preserve"> </w:t>
      </w:r>
      <w:r w:rsidR="00964E28" w:rsidRPr="009930D9">
        <w:t>s pojistnou událostí.</w:t>
      </w:r>
    </w:p>
    <w:p w14:paraId="3D457EAA" w14:textId="77777777" w:rsidR="00563B7A" w:rsidRPr="009930D9" w:rsidRDefault="00563B7A" w:rsidP="00F74FAE">
      <w:pPr>
        <w:pStyle w:val="Nadpis3"/>
        <w:numPr>
          <w:ilvl w:val="0"/>
          <w:numId w:val="0"/>
        </w:numPr>
        <w:jc w:val="both"/>
      </w:pPr>
      <w:r w:rsidRPr="009930D9">
        <w:lastRenderedPageBreak/>
        <w:t>Výpočet pojistného při zániku pojištění</w:t>
      </w:r>
    </w:p>
    <w:p w14:paraId="2E191DF2" w14:textId="6FD48E56" w:rsidR="00474105" w:rsidRPr="009930D9" w:rsidRDefault="00A651A7" w:rsidP="00474105">
      <w:pPr>
        <w:jc w:val="both"/>
      </w:pPr>
      <w:r w:rsidRPr="009930D9">
        <w:t>V</w:t>
      </w:r>
      <w:r w:rsidR="00563B7A" w:rsidRPr="009930D9">
        <w:t xml:space="preserve"> případě zániku pojištění z důvodu</w:t>
      </w:r>
      <w:r w:rsidR="005241DA" w:rsidRPr="009930D9">
        <w:t xml:space="preserve"> nezaplacení pojistného</w:t>
      </w:r>
      <w:r w:rsidR="003B3C1B" w:rsidRPr="009930D9">
        <w:t>,</w:t>
      </w:r>
      <w:r w:rsidR="005241DA" w:rsidRPr="009930D9">
        <w:t xml:space="preserve"> </w:t>
      </w:r>
      <w:r w:rsidR="004D5544" w:rsidRPr="009930D9">
        <w:t xml:space="preserve">výpovědí </w:t>
      </w:r>
      <w:r w:rsidR="00F74FAE" w:rsidRPr="009930D9">
        <w:t>pojistné smlouvy</w:t>
      </w:r>
      <w:r w:rsidR="00895245" w:rsidRPr="009930D9">
        <w:t xml:space="preserve"> </w:t>
      </w:r>
      <w:r w:rsidR="005241DA" w:rsidRPr="009930D9">
        <w:t xml:space="preserve">po oznámení pojistné události </w:t>
      </w:r>
      <w:r w:rsidR="003B3C1B" w:rsidRPr="009930D9">
        <w:t xml:space="preserve">nebo ukončení pojištění z důvodu centralizace pojištění zřizovatele </w:t>
      </w:r>
      <w:r w:rsidRPr="009930D9">
        <w:t xml:space="preserve">se ujednává, že </w:t>
      </w:r>
      <w:r w:rsidR="00563B7A" w:rsidRPr="009930D9">
        <w:t>pojistiteli</w:t>
      </w:r>
      <w:r w:rsidRPr="009930D9">
        <w:t xml:space="preserve"> náleží</w:t>
      </w:r>
      <w:r w:rsidR="00563B7A" w:rsidRPr="009930D9">
        <w:t xml:space="preserve"> </w:t>
      </w:r>
      <w:r w:rsidR="00A36B74" w:rsidRPr="009930D9">
        <w:t xml:space="preserve">pouze </w:t>
      </w:r>
      <w:r w:rsidR="00F74FAE" w:rsidRPr="009930D9">
        <w:t>poměrná část pojistného</w:t>
      </w:r>
      <w:r w:rsidR="003B3C1B" w:rsidRPr="009930D9">
        <w:t xml:space="preserve"> </w:t>
      </w:r>
      <w:r w:rsidR="00563B7A" w:rsidRPr="009930D9">
        <w:t>za dobu pojištění do jeho zániku.</w:t>
      </w:r>
    </w:p>
    <w:p w14:paraId="169096E1" w14:textId="74970977" w:rsidR="008C5265" w:rsidRPr="00F84F9D" w:rsidRDefault="008C5265" w:rsidP="008C5265">
      <w:pPr>
        <w:pStyle w:val="Nadpis3"/>
        <w:numPr>
          <w:ilvl w:val="0"/>
          <w:numId w:val="0"/>
        </w:numPr>
        <w:jc w:val="both"/>
      </w:pPr>
      <w:bookmarkStart w:id="5" w:name="_GoBack"/>
      <w:r w:rsidRPr="00F84F9D">
        <w:t>Prodloužení pojistné smlouvy a výpočet pojistného</w:t>
      </w:r>
    </w:p>
    <w:p w14:paraId="4A3E5CE7" w14:textId="0BD1CC55" w:rsidR="008C5265" w:rsidRPr="00F84F9D" w:rsidRDefault="008C5265" w:rsidP="008C5265">
      <w:pPr>
        <w:jc w:val="both"/>
      </w:pPr>
      <w:r w:rsidRPr="00F84F9D">
        <w:t xml:space="preserve">Pojistitel se zavazuje, že v případě požadavku pojistníka bude pojistná smlouva dodatkem prodloužena na požadované období, ne delší 12 měsíců. Za dobu prodloužení náleží pojistiteli </w:t>
      </w:r>
      <w:r w:rsidR="00252F8D" w:rsidRPr="00F84F9D">
        <w:t>poměrná část</w:t>
      </w:r>
      <w:r w:rsidRPr="00F84F9D">
        <w:t xml:space="preserve"> pojistného.</w:t>
      </w:r>
    </w:p>
    <w:p w14:paraId="149E8CC2" w14:textId="7D6296C1" w:rsidR="00655181" w:rsidRPr="00F84F9D" w:rsidRDefault="006F4AD9" w:rsidP="00655181">
      <w:pPr>
        <w:pStyle w:val="Nadpis3"/>
        <w:numPr>
          <w:ilvl w:val="0"/>
          <w:numId w:val="0"/>
        </w:numPr>
        <w:jc w:val="both"/>
      </w:pPr>
      <w:r w:rsidRPr="00F84F9D">
        <w:t>Omezení naturálního plnění</w:t>
      </w:r>
    </w:p>
    <w:bookmarkEnd w:id="5"/>
    <w:p w14:paraId="218A98AA" w14:textId="77777777" w:rsidR="00474105" w:rsidRPr="009930D9" w:rsidRDefault="006F4AD9" w:rsidP="00474105">
      <w:pPr>
        <w:jc w:val="both"/>
      </w:pPr>
      <w:r w:rsidRPr="009930D9">
        <w:t xml:space="preserve">Ujednává se, </w:t>
      </w:r>
      <w:r w:rsidR="002B0E01" w:rsidRPr="009930D9">
        <w:t>že pojistné plnění bude poskytnuto pouze jako peněžitá náhrada, nikoli jako naturální plnění. Naturální plnění může být poskytnuto pouze po dohodě</w:t>
      </w:r>
      <w:r w:rsidR="00567BA0" w:rsidRPr="009930D9">
        <w:t xml:space="preserve"> obou smluvních stran.</w:t>
      </w:r>
    </w:p>
    <w:p w14:paraId="5D0F6F59" w14:textId="77777777" w:rsidR="00886CEC" w:rsidRPr="009930D9" w:rsidRDefault="00886CEC" w:rsidP="00DC097E">
      <w:pPr>
        <w:pStyle w:val="Nadpis3"/>
        <w:numPr>
          <w:ilvl w:val="0"/>
          <w:numId w:val="0"/>
        </w:numPr>
        <w:jc w:val="both"/>
      </w:pPr>
      <w:r w:rsidRPr="009930D9">
        <w:t xml:space="preserve">Akceptace pojistné částky </w:t>
      </w:r>
    </w:p>
    <w:p w14:paraId="342F8F03" w14:textId="77777777" w:rsidR="007A5D8E" w:rsidRPr="009930D9" w:rsidRDefault="00C65736" w:rsidP="00DC097E">
      <w:pPr>
        <w:jc w:val="both"/>
      </w:pPr>
      <w:r w:rsidRPr="009930D9">
        <w:t xml:space="preserve">Ujednává se, že </w:t>
      </w:r>
      <w:r w:rsidR="00D17492" w:rsidRPr="009930D9">
        <w:t xml:space="preserve">pokud se sjednává pojištění na novou cenu, tak </w:t>
      </w:r>
      <w:r w:rsidRPr="009930D9">
        <w:t>pro účely této pojistné smlouvy ke dni sjednání pojištění odpovídají pojistné částky</w:t>
      </w:r>
      <w:r w:rsidR="002875D3" w:rsidRPr="009930D9">
        <w:t xml:space="preserve"> </w:t>
      </w:r>
      <w:r w:rsidRPr="009930D9">
        <w:t>stanovené pro pojištěné předměty pojištění nebo jejich soubory pojistné hodnotě a pojistitel akceptuje sjednané pojistné částky jako hodnotu nové věci ve smyslu pojistných podmínek.</w:t>
      </w:r>
    </w:p>
    <w:p w14:paraId="1F8E2C3A" w14:textId="77777777" w:rsidR="00563B7A" w:rsidRPr="009930D9" w:rsidRDefault="00563B7A" w:rsidP="00474105">
      <w:pPr>
        <w:pStyle w:val="Nadpis3"/>
        <w:numPr>
          <w:ilvl w:val="0"/>
          <w:numId w:val="0"/>
        </w:numPr>
        <w:jc w:val="both"/>
      </w:pPr>
      <w:r w:rsidRPr="009930D9">
        <w:t>Automatické pojištění nově pořízeného majetku</w:t>
      </w:r>
    </w:p>
    <w:p w14:paraId="2C436126" w14:textId="77777777" w:rsidR="00BF5C45" w:rsidRPr="009930D9" w:rsidRDefault="00563B7A" w:rsidP="00DC097E">
      <w:pPr>
        <w:jc w:val="both"/>
      </w:pPr>
      <w:r w:rsidRPr="009930D9">
        <w:t>Ujednává se, ž</w:t>
      </w:r>
      <w:r w:rsidR="009E5F62" w:rsidRPr="009930D9">
        <w:t>e veškerý nový majetek</w:t>
      </w:r>
      <w:r w:rsidRPr="009930D9">
        <w:t xml:space="preserve">, který pojištěný nabude v průběhu </w:t>
      </w:r>
      <w:r w:rsidR="006A697A" w:rsidRPr="009930D9">
        <w:t xml:space="preserve">jednoho pojistného roku a který odpovídá svým charakterem souboru pojištěných </w:t>
      </w:r>
      <w:r w:rsidR="003510E9" w:rsidRPr="009930D9">
        <w:t xml:space="preserve">věcí </w:t>
      </w:r>
      <w:r w:rsidR="006A697A" w:rsidRPr="009930D9">
        <w:t>v pojistné smlouvě</w:t>
      </w:r>
      <w:r w:rsidRPr="009930D9">
        <w:t>, je automaticky zahrnut do pojištění. Zvýší-li se tím pojistná částka</w:t>
      </w:r>
      <w:r w:rsidR="00567BA0" w:rsidRPr="009930D9">
        <w:t xml:space="preserve"> o méně než 20</w:t>
      </w:r>
      <w:r w:rsidR="00D61262" w:rsidRPr="009930D9">
        <w:t xml:space="preserve"> </w:t>
      </w:r>
      <w:r w:rsidRPr="009930D9">
        <w:t>% nebude pojistitel požadovat doplatek pojistného</w:t>
      </w:r>
      <w:r w:rsidR="00387751" w:rsidRPr="009930D9">
        <w:t xml:space="preserve"> a namítat podpojištění</w:t>
      </w:r>
      <w:r w:rsidRPr="009930D9">
        <w:t>.</w:t>
      </w:r>
      <w:r w:rsidR="00D61262" w:rsidRPr="009930D9">
        <w:t xml:space="preserve"> </w:t>
      </w:r>
      <w:r w:rsidRPr="009930D9">
        <w:t>Pojištění se vztahuje i na majetek, který zatím nebyl zaveden do účetnictví, pokud na základě smluv či právních předpisů přešlo na pojištěného nebezpečí škody na takovém majetku.</w:t>
      </w:r>
    </w:p>
    <w:p w14:paraId="2FF2AB7F" w14:textId="77777777" w:rsidR="00563B7A" w:rsidRPr="009930D9" w:rsidRDefault="00563B7A" w:rsidP="00396DE4">
      <w:pPr>
        <w:pStyle w:val="Nadpis3"/>
        <w:numPr>
          <w:ilvl w:val="0"/>
          <w:numId w:val="0"/>
        </w:numPr>
        <w:jc w:val="both"/>
      </w:pPr>
      <w:r w:rsidRPr="009930D9">
        <w:t>Převod cizích věcí do vlastnictví</w:t>
      </w:r>
    </w:p>
    <w:p w14:paraId="0BAA05ED" w14:textId="77777777" w:rsidR="00563B7A" w:rsidRPr="009930D9" w:rsidRDefault="00563B7A" w:rsidP="00DC097E">
      <w:pPr>
        <w:jc w:val="both"/>
      </w:pPr>
      <w:r w:rsidRPr="009930D9">
        <w:t xml:space="preserve">Ujednává se, že </w:t>
      </w:r>
      <w:r w:rsidR="00E77D8E" w:rsidRPr="009930D9">
        <w:t xml:space="preserve">v případě, že má pojištěný </w:t>
      </w:r>
      <w:r w:rsidRPr="009930D9">
        <w:t xml:space="preserve">pojištěné cizí věci, které užívá na základě leasingových, nájemních či jiných smluv, jsou v případě převodu do </w:t>
      </w:r>
      <w:r w:rsidR="00E77D8E" w:rsidRPr="009930D9">
        <w:t xml:space="preserve">jeho </w:t>
      </w:r>
      <w:r w:rsidRPr="009930D9">
        <w:t>vlastnictví automaticky pojištěny v rozsahu sjednané pojistné smlouvy.</w:t>
      </w:r>
    </w:p>
    <w:p w14:paraId="14B1FFF6" w14:textId="77777777" w:rsidR="00563B7A" w:rsidRPr="009930D9" w:rsidRDefault="00563B7A" w:rsidP="00396DE4">
      <w:pPr>
        <w:pStyle w:val="Nadpis3"/>
        <w:numPr>
          <w:ilvl w:val="0"/>
          <w:numId w:val="0"/>
        </w:numPr>
        <w:jc w:val="both"/>
      </w:pPr>
      <w:r w:rsidRPr="009930D9">
        <w:t>Pojistná plnění</w:t>
      </w:r>
    </w:p>
    <w:p w14:paraId="0BB52FF3" w14:textId="249D9D86" w:rsidR="00542D6D" w:rsidRPr="009930D9" w:rsidRDefault="00D65441" w:rsidP="00DC097E">
      <w:pPr>
        <w:jc w:val="both"/>
      </w:pPr>
      <w:r w:rsidRPr="009930D9">
        <w:t xml:space="preserve">Ujednává se, že pokud jsou předměty pojištění pojištěny na novou cenu, </w:t>
      </w:r>
      <w:r w:rsidR="000C34A8" w:rsidRPr="009930D9">
        <w:t>pak</w:t>
      </w:r>
      <w:r w:rsidRPr="009930D9">
        <w:t xml:space="preserve"> </w:t>
      </w:r>
      <w:r w:rsidR="00563B7A" w:rsidRPr="009930D9">
        <w:t>pojistitel poskytne</w:t>
      </w:r>
      <w:r w:rsidR="00E02B87" w:rsidRPr="009930D9">
        <w:t xml:space="preserve"> v případě poškození, zničení nebo ztráty pojištěných věcí </w:t>
      </w:r>
      <w:r w:rsidR="00563B7A" w:rsidRPr="009930D9">
        <w:t>p</w:t>
      </w:r>
      <w:r w:rsidR="00F74FAE" w:rsidRPr="009930D9">
        <w:t>lnění vždy také v nových cenách</w:t>
      </w:r>
      <w:r w:rsidR="00895245" w:rsidRPr="009930D9">
        <w:t xml:space="preserve"> </w:t>
      </w:r>
      <w:r w:rsidR="00BB43AC" w:rsidRPr="009930D9">
        <w:t>bez odpočtu opotřebení</w:t>
      </w:r>
      <w:r w:rsidR="00563B7A" w:rsidRPr="009930D9">
        <w:t xml:space="preserve">. To platí </w:t>
      </w:r>
      <w:r w:rsidR="00F669D1" w:rsidRPr="009930D9">
        <w:t>i pro položky pojištěné na 1.</w:t>
      </w:r>
      <w:r w:rsidR="0039141E" w:rsidRPr="009930D9">
        <w:t xml:space="preserve"> riziko. </w:t>
      </w:r>
    </w:p>
    <w:p w14:paraId="40FD3DDE" w14:textId="77777777" w:rsidR="002256DE" w:rsidRPr="009930D9" w:rsidRDefault="00563B7A" w:rsidP="00964E28">
      <w:pPr>
        <w:spacing w:before="0"/>
        <w:jc w:val="both"/>
      </w:pPr>
      <w:r w:rsidRPr="009930D9">
        <w:t>V</w:t>
      </w:r>
      <w:r w:rsidR="00D65441" w:rsidRPr="009930D9">
        <w:t> </w:t>
      </w:r>
      <w:r w:rsidRPr="009930D9">
        <w:t>případě</w:t>
      </w:r>
      <w:r w:rsidR="00D65441" w:rsidRPr="009930D9">
        <w:t xml:space="preserve"> pojistné události na</w:t>
      </w:r>
      <w:r w:rsidRPr="009930D9">
        <w:t xml:space="preserve"> </w:t>
      </w:r>
      <w:r w:rsidR="00D65441" w:rsidRPr="009930D9">
        <w:t xml:space="preserve">pojištěných </w:t>
      </w:r>
      <w:r w:rsidRPr="009930D9">
        <w:t xml:space="preserve">cizích užívaných </w:t>
      </w:r>
      <w:r w:rsidR="00932883" w:rsidRPr="009930D9">
        <w:t xml:space="preserve">a převzatých </w:t>
      </w:r>
      <w:r w:rsidRPr="009930D9">
        <w:t>věc</w:t>
      </w:r>
      <w:r w:rsidR="00D65441" w:rsidRPr="009930D9">
        <w:t>ech</w:t>
      </w:r>
      <w:r w:rsidRPr="009930D9">
        <w:t xml:space="preserve"> poskytne pojistitel pojistné plnění vždy</w:t>
      </w:r>
      <w:r w:rsidR="00527802" w:rsidRPr="009930D9">
        <w:t xml:space="preserve"> v nových cenách bez odpočtu opotřebení.</w:t>
      </w:r>
    </w:p>
    <w:p w14:paraId="4E3B3727" w14:textId="5A260D62" w:rsidR="00655181" w:rsidRPr="009930D9" w:rsidRDefault="00B456DB" w:rsidP="00B456DB">
      <w:pPr>
        <w:spacing w:before="0"/>
        <w:jc w:val="both"/>
      </w:pPr>
      <w:r>
        <w:rPr>
          <w:szCs w:val="22"/>
        </w:rPr>
        <w:t>Pojištění vzorků, modelů, prototypů a exponátů se sjednává na obecnou cenu</w:t>
      </w:r>
    </w:p>
    <w:p w14:paraId="50BFB446" w14:textId="4E5EB267" w:rsidR="00202D60" w:rsidRDefault="00202D60" w:rsidP="004C20E3">
      <w:pPr>
        <w:jc w:val="both"/>
      </w:pPr>
    </w:p>
    <w:p w14:paraId="21EEEA1F" w14:textId="77777777" w:rsidR="00B456DB" w:rsidRPr="009930D9" w:rsidRDefault="00B456DB" w:rsidP="004C20E3">
      <w:pPr>
        <w:jc w:val="both"/>
      </w:pPr>
    </w:p>
    <w:p w14:paraId="6573CADA" w14:textId="77777777" w:rsidR="00542183" w:rsidRPr="009930D9" w:rsidRDefault="00542183" w:rsidP="00542183">
      <w:pPr>
        <w:pStyle w:val="Nadpis1"/>
        <w:numPr>
          <w:ilvl w:val="0"/>
          <w:numId w:val="0"/>
        </w:numPr>
        <w:jc w:val="both"/>
      </w:pPr>
      <w:r w:rsidRPr="009930D9">
        <w:t>POJIŠTĚNÍ ŽIVELNÍ</w:t>
      </w:r>
    </w:p>
    <w:p w14:paraId="2639FCD7" w14:textId="77777777" w:rsidR="00542183" w:rsidRPr="009930D9" w:rsidRDefault="00542183" w:rsidP="00542183">
      <w:pPr>
        <w:pStyle w:val="Nadpis3"/>
        <w:numPr>
          <w:ilvl w:val="0"/>
          <w:numId w:val="0"/>
        </w:numPr>
        <w:spacing w:before="60"/>
        <w:jc w:val="both"/>
      </w:pPr>
      <w:r w:rsidRPr="009930D9">
        <w:t>Podpojištění</w:t>
      </w:r>
    </w:p>
    <w:p w14:paraId="19A5904F" w14:textId="77777777" w:rsidR="00542183" w:rsidRPr="009930D9" w:rsidRDefault="00542183" w:rsidP="00542183">
      <w:pPr>
        <w:jc w:val="both"/>
      </w:pPr>
      <w:r w:rsidRPr="009930D9">
        <w:t>Ujednává se, že pojistitel neuplatní podpojištění ve smyslu ustanovení § 2854 O</w:t>
      </w:r>
      <w:r w:rsidR="00655181" w:rsidRPr="009930D9">
        <w:t>bčanského zákoníku</w:t>
      </w:r>
      <w:r w:rsidRPr="009930D9">
        <w:t xml:space="preserve"> a ustanovení pojistných podmínek v případě, že v době vzniku pojistné události je celková pojistná částka uvedená v pojistné smlouvě pro pojištěnou věc, resp. pro pojištěný soubor věcí nižší než pojistná hodnota poj</w:t>
      </w:r>
      <w:r w:rsidR="00567BA0" w:rsidRPr="009930D9">
        <w:t xml:space="preserve">išťovaného majetku o méně než 20 </w:t>
      </w:r>
      <w:r w:rsidRPr="009930D9">
        <w:t xml:space="preserve">%. Pojistitel pro účely podpojištění </w:t>
      </w:r>
      <w:r w:rsidRPr="009930D9">
        <w:lastRenderedPageBreak/>
        <w:t>nebude zkoumat dílčí pojistné částky uváděné separátně pro jednotlivá místa pojištění. Toto ujednání</w:t>
      </w:r>
      <w:r w:rsidR="00655181" w:rsidRPr="009930D9">
        <w:t xml:space="preserve"> </w:t>
      </w:r>
      <w:r w:rsidRPr="009930D9">
        <w:t>je nezávislé na ostatních uj</w:t>
      </w:r>
      <w:r w:rsidR="00655181" w:rsidRPr="009930D9">
        <w:t>ednáních této pojistné smlouvy.</w:t>
      </w:r>
    </w:p>
    <w:p w14:paraId="7F9DF61F" w14:textId="77777777" w:rsidR="00542183" w:rsidRPr="009930D9" w:rsidRDefault="00542183" w:rsidP="00542183">
      <w:pPr>
        <w:pStyle w:val="Nadpis3"/>
        <w:numPr>
          <w:ilvl w:val="0"/>
          <w:numId w:val="0"/>
        </w:numPr>
        <w:jc w:val="both"/>
      </w:pPr>
      <w:r w:rsidRPr="009930D9">
        <w:t>Ná</w:t>
      </w:r>
      <w:r w:rsidR="0005679F" w:rsidRPr="009930D9">
        <w:t>klady na demolici, hašení apod.</w:t>
      </w:r>
    </w:p>
    <w:p w14:paraId="69F7F1C7" w14:textId="4A0D7DBC" w:rsidR="00542183" w:rsidRPr="009930D9" w:rsidRDefault="00542183" w:rsidP="00542183">
      <w:pPr>
        <w:jc w:val="both"/>
      </w:pPr>
      <w:r w:rsidRPr="009930D9">
        <w:t>Ujednává se, že pojištění zahrnuje i krytí nákladů na hašení (včetně obnovy náplní hasicích přístrojů, samočinného hasicího zařízení všech typů a podobných zařízení, použitých</w:t>
      </w:r>
      <w:r w:rsidR="00895245" w:rsidRPr="009930D9">
        <w:t xml:space="preserve"> </w:t>
      </w:r>
      <w:r w:rsidRPr="009930D9">
        <w:t>při zdolávání požáru předmětu pojištění a na znovunastavení systémů elektronického zabezpečení a televizních systémů), demolici, skládkovné, odvoz suti, úklid a likvidaci zbytků</w:t>
      </w:r>
      <w:r w:rsidR="00895245" w:rsidRPr="009930D9">
        <w:t xml:space="preserve"> </w:t>
      </w:r>
      <w:r w:rsidRPr="009930D9">
        <w:t>a následků pojistné události včetně nákladů na dočasné přemístění majetku a ochranu</w:t>
      </w:r>
      <w:r w:rsidR="00895245" w:rsidRPr="009930D9">
        <w:t xml:space="preserve"> </w:t>
      </w:r>
      <w:r w:rsidRPr="009930D9">
        <w:t>a dále v souvislosti s pojistnou událostí z pojistného nebezpečí vichřice/krupobití, pád stromu</w:t>
      </w:r>
      <w:r w:rsidR="00895245" w:rsidRPr="009930D9">
        <w:t xml:space="preserve"> </w:t>
      </w:r>
      <w:r w:rsidRPr="009930D9">
        <w:t>i na náklady na odstranění stromů nebo jejich ořez. Pojištění se vztahuje i na účelně vynaložené náklady na dekontaminaci při odstraňování následků pojistné události a na náhradu kontaminované půdy (vlastněné či pronaj</w:t>
      </w:r>
      <w:r w:rsidR="0005679F" w:rsidRPr="009930D9">
        <w:t>ímané), její odvoz a likvidaci.</w:t>
      </w:r>
    </w:p>
    <w:p w14:paraId="68035C7F" w14:textId="77777777" w:rsidR="00542183" w:rsidRPr="009930D9" w:rsidRDefault="00542183" w:rsidP="00542183">
      <w:pPr>
        <w:pStyle w:val="Nadpis3"/>
        <w:numPr>
          <w:ilvl w:val="0"/>
          <w:numId w:val="0"/>
        </w:numPr>
        <w:jc w:val="both"/>
      </w:pPr>
      <w:r w:rsidRPr="009930D9">
        <w:t>Náklady na čištění odpadního potrubí</w:t>
      </w:r>
    </w:p>
    <w:p w14:paraId="640061FB" w14:textId="3D51F207" w:rsidR="00542183" w:rsidRPr="009930D9" w:rsidRDefault="00542183" w:rsidP="00542183">
      <w:pPr>
        <w:jc w:val="both"/>
      </w:pPr>
      <w:r w:rsidRPr="009930D9">
        <w:t>Pojištění se vztahuje i na přiměřeně vynaložené náklady na čištění drenáží, odtoků, okapů, kanalizace a podobně, pokud je pojištěný za takové ná</w:t>
      </w:r>
      <w:r w:rsidR="00CD745C" w:rsidRPr="009930D9">
        <w:t>klady odpovědný a které vznikly</w:t>
      </w:r>
      <w:r w:rsidR="00895245" w:rsidRPr="009930D9">
        <w:t xml:space="preserve"> </w:t>
      </w:r>
      <w:r w:rsidRPr="009930D9">
        <w:t>po pojistné ud</w:t>
      </w:r>
      <w:r w:rsidR="0005679F" w:rsidRPr="009930D9">
        <w:t>álosti nebo v souvislosti s ní.</w:t>
      </w:r>
    </w:p>
    <w:p w14:paraId="7DBBBEF5" w14:textId="77777777" w:rsidR="00542183" w:rsidRPr="009930D9" w:rsidRDefault="00542183" w:rsidP="00542183">
      <w:pPr>
        <w:pStyle w:val="Nadpis3"/>
        <w:numPr>
          <w:ilvl w:val="0"/>
          <w:numId w:val="0"/>
        </w:numPr>
        <w:jc w:val="both"/>
      </w:pPr>
      <w:r w:rsidRPr="009930D9">
        <w:t>Náklady za mimořádnou spotřebu vody vlivem poškození vodovodního potrubí</w:t>
      </w:r>
    </w:p>
    <w:p w14:paraId="2699C8F9" w14:textId="143E117F" w:rsidR="00542183" w:rsidRPr="009930D9" w:rsidRDefault="00542183" w:rsidP="00542183">
      <w:pPr>
        <w:jc w:val="both"/>
      </w:pPr>
      <w:r w:rsidRPr="009930D9">
        <w:t>Pojistitel poskytne úhradu nákladů za mimořádnou spotřebu vody, ke které došlo únikem vody</w:t>
      </w:r>
      <w:r w:rsidR="00895245" w:rsidRPr="009930D9">
        <w:t xml:space="preserve"> </w:t>
      </w:r>
      <w:r w:rsidRPr="009930D9">
        <w:t>z poškozeného vodovodního potrubí. Pojistitel uhradí pouze rozdíl mezi cenou, kterou pojištěný</w:t>
      </w:r>
      <w:r w:rsidR="00895245" w:rsidRPr="009930D9">
        <w:t xml:space="preserve"> </w:t>
      </w:r>
      <w:r w:rsidRPr="009930D9">
        <w:t>v účtovaném období obvykle platí za spotřebu vody a cenou požadovanou dodavatelem vody</w:t>
      </w:r>
      <w:r w:rsidR="00895245" w:rsidRPr="009930D9">
        <w:t xml:space="preserve"> </w:t>
      </w:r>
      <w:r w:rsidRPr="009930D9">
        <w:t>po mimořádné spotřebě vzniklé následkem</w:t>
      </w:r>
      <w:r w:rsidR="0005679F" w:rsidRPr="009930D9">
        <w:t xml:space="preserve"> poškození vodovodního potrubí.</w:t>
      </w:r>
    </w:p>
    <w:p w14:paraId="74BFB79E" w14:textId="77777777" w:rsidR="0005679F" w:rsidRPr="009930D9" w:rsidRDefault="00542183" w:rsidP="0005679F">
      <w:pPr>
        <w:pStyle w:val="Nadpis3"/>
        <w:numPr>
          <w:ilvl w:val="0"/>
          <w:numId w:val="0"/>
        </w:numPr>
        <w:jc w:val="both"/>
      </w:pPr>
      <w:r w:rsidRPr="009930D9">
        <w:t>Jedna spoluúčast</w:t>
      </w:r>
    </w:p>
    <w:p w14:paraId="79F42D51" w14:textId="77777777" w:rsidR="00542183" w:rsidRPr="009930D9" w:rsidRDefault="00542183" w:rsidP="00542183">
      <w:pPr>
        <w:jc w:val="both"/>
      </w:pPr>
      <w:r w:rsidRPr="009930D9">
        <w:t>Ujednává se, že v případě pojistné události na více předmětech pojištění současně z téže příčiny se od celkové výše pojistného plnění za pojistnou událost odečte pouze jedna spoluúčast, která</w:t>
      </w:r>
      <w:r w:rsidRPr="009930D9">
        <w:br/>
        <w:t>je nejvyšší sjednaná, pokud není pro pojištěného výhodnější odečtení spoluúčastí z jednotlivých předmětů pojištění, kterých se pojistná událost týká. Toto ujednání se vztahuje i na případy, kdy pojistná událost nastane z téže příčiny na více místech pojištění v rozmezí max. 72 hodin.</w:t>
      </w:r>
    </w:p>
    <w:p w14:paraId="277B859F" w14:textId="77777777" w:rsidR="007D53AF" w:rsidRPr="009930D9" w:rsidRDefault="007D53AF" w:rsidP="007D53AF">
      <w:pPr>
        <w:pStyle w:val="Nadpis3"/>
        <w:numPr>
          <w:ilvl w:val="0"/>
          <w:numId w:val="0"/>
        </w:numPr>
        <w:jc w:val="both"/>
      </w:pPr>
      <w:r w:rsidRPr="009930D9">
        <w:t>Zrušení čekací doby</w:t>
      </w:r>
    </w:p>
    <w:p w14:paraId="48C1EEB7" w14:textId="77777777" w:rsidR="007D53AF" w:rsidRPr="009930D9" w:rsidRDefault="007D53AF" w:rsidP="007D53AF">
      <w:pPr>
        <w:jc w:val="both"/>
      </w:pPr>
      <w:r w:rsidRPr="009930D9">
        <w:t>Ujednává se, že všechna pojistná nebezpečí včetně povodně a záplavy se sjednávají okamžitě od data účinnos</w:t>
      </w:r>
      <w:r w:rsidR="0005679F" w:rsidRPr="009930D9">
        <w:t>ti smlouvy tj. bez čekací doby.</w:t>
      </w:r>
    </w:p>
    <w:p w14:paraId="52EFC709" w14:textId="77777777" w:rsidR="00F74FAE" w:rsidRPr="009930D9" w:rsidRDefault="00F74FAE" w:rsidP="00F74FAE">
      <w:pPr>
        <w:pStyle w:val="Nadpis3"/>
        <w:numPr>
          <w:ilvl w:val="0"/>
          <w:numId w:val="0"/>
        </w:numPr>
        <w:jc w:val="both"/>
      </w:pPr>
      <w:r w:rsidRPr="009930D9">
        <w:t xml:space="preserve">Pojistné nebezpečí záplava, povodeň </w:t>
      </w:r>
    </w:p>
    <w:p w14:paraId="53B374F7" w14:textId="77777777" w:rsidR="00F74FAE" w:rsidRPr="009930D9" w:rsidRDefault="00F74FAE" w:rsidP="00F74FAE">
      <w:pPr>
        <w:jc w:val="both"/>
      </w:pPr>
      <w:r w:rsidRPr="009930D9">
        <w:t>Povodní se rozumí dočasné / přechodné zvýšení hladiny vodních toků, nádrží nebo jiných povrchových vod, při kterém dochází k vylití z břehů a voda zaplavuje místa mimo koryto vodního toku, břehy apod.</w:t>
      </w:r>
    </w:p>
    <w:p w14:paraId="269B19A0" w14:textId="5F446A4C" w:rsidR="00F74FAE" w:rsidRPr="009930D9" w:rsidRDefault="00F74FAE" w:rsidP="00895245">
      <w:pPr>
        <w:spacing w:before="0"/>
        <w:jc w:val="both"/>
      </w:pPr>
      <w:r w:rsidRPr="009930D9">
        <w:t>Záplavou se rozumí vytvoření souvislé vodní plochy, která po určitou dobu stojí nebo proudí</w:t>
      </w:r>
      <w:r w:rsidR="00895245" w:rsidRPr="009930D9">
        <w:t xml:space="preserve"> </w:t>
      </w:r>
      <w:r w:rsidRPr="009930D9">
        <w:t>v místě pojištění, jinak, než z důvodu povodně.</w:t>
      </w:r>
    </w:p>
    <w:p w14:paraId="2732C633" w14:textId="77777777" w:rsidR="0005679F" w:rsidRPr="009930D9" w:rsidRDefault="00F74FAE" w:rsidP="00895245">
      <w:pPr>
        <w:spacing w:before="0"/>
        <w:jc w:val="both"/>
      </w:pPr>
      <w:r w:rsidRPr="009930D9">
        <w:t>Plnění z titulu záplavy nebo povodně není omezeno skutečností, že událost měla charakter záplavy nebo povodně opakující se alespoň či nejvýše s určitou časovou periodu/frekvencí (např. 20-ti letá voda apod.). Definice rizika záplavy a povodně není na časové periodě/frekvenci závislá.</w:t>
      </w:r>
    </w:p>
    <w:p w14:paraId="61EA5968" w14:textId="77777777" w:rsidR="00F74FAE" w:rsidRPr="009930D9" w:rsidRDefault="00F74FAE" w:rsidP="00F74FAE">
      <w:pPr>
        <w:pStyle w:val="Nadpis3"/>
        <w:numPr>
          <w:ilvl w:val="0"/>
          <w:numId w:val="0"/>
        </w:numPr>
        <w:jc w:val="both"/>
      </w:pPr>
      <w:r w:rsidRPr="009930D9">
        <w:t xml:space="preserve">Pojistné nebezpečí vichřice/krupobití </w:t>
      </w:r>
    </w:p>
    <w:p w14:paraId="7674E489" w14:textId="4298BDA1" w:rsidR="00F74FAE" w:rsidRPr="009930D9" w:rsidRDefault="00F74FAE" w:rsidP="00F74FAE">
      <w:pPr>
        <w:jc w:val="both"/>
      </w:pPr>
      <w:r w:rsidRPr="009930D9">
        <w:t>Ujednává se, že pojistné nebezpečí vichřice/krupobití se vztahuje i na případy, kdy v důsledku vichřice/krupobití dojde k vývratu nebo lomu stromu a jiných předmětů, které způsobí škodu</w:t>
      </w:r>
      <w:r w:rsidR="00895245" w:rsidRPr="009930D9">
        <w:t xml:space="preserve"> </w:t>
      </w:r>
      <w:r w:rsidRPr="009930D9">
        <w:t>na předmětech pojišt</w:t>
      </w:r>
      <w:r w:rsidR="0005679F" w:rsidRPr="009930D9">
        <w:t>ění.</w:t>
      </w:r>
    </w:p>
    <w:p w14:paraId="7D706256" w14:textId="77777777" w:rsidR="00F74FAE" w:rsidRPr="009930D9" w:rsidRDefault="00F74FAE" w:rsidP="00F74FAE">
      <w:pPr>
        <w:pStyle w:val="Nadpis3"/>
        <w:numPr>
          <w:ilvl w:val="0"/>
          <w:numId w:val="0"/>
        </w:numPr>
        <w:jc w:val="both"/>
      </w:pPr>
      <w:r w:rsidRPr="009930D9">
        <w:lastRenderedPageBreak/>
        <w:t>Pojistné nebezpečí náraz dopravního prostředku, pád stromu a jiných předmětů</w:t>
      </w:r>
    </w:p>
    <w:p w14:paraId="5B798623" w14:textId="1ED967C8" w:rsidR="00F74FAE" w:rsidRPr="009930D9" w:rsidRDefault="00F74FAE" w:rsidP="00F74FAE">
      <w:pPr>
        <w:jc w:val="both"/>
      </w:pPr>
      <w:r w:rsidRPr="009930D9">
        <w:t>Ujednává se, že pojistné nebezpečí náraz dopravního prostředku nebo jeho nákladu a pád stromů, stožárů nebo jiných předmětů se vztahuje i na případy, kdy pojištěné předměty jsou součásti poškozené věci nebo součásti téhož souboru jako poškozená věc. Pojištění se vztahuje</w:t>
      </w:r>
      <w:r w:rsidR="00895245" w:rsidRPr="009930D9">
        <w:t xml:space="preserve"> </w:t>
      </w:r>
      <w:r w:rsidRPr="009930D9">
        <w:t xml:space="preserve">i na škody způsobené pádem pojištěné věci vzniklé na věci samotné. </w:t>
      </w:r>
    </w:p>
    <w:p w14:paraId="601BC128" w14:textId="77777777" w:rsidR="00F74FAE" w:rsidRPr="009930D9" w:rsidRDefault="00F74FAE" w:rsidP="00895245">
      <w:pPr>
        <w:spacing w:before="0"/>
        <w:jc w:val="both"/>
      </w:pPr>
      <w:r w:rsidRPr="009930D9">
        <w:t xml:space="preserve">Pojištění pro případ poškození nebo zničení pojištěné věci nárazem dopravního prostředku nebo jeho nákladu se vztahuje i na případy, kdy byl dopravní prostředek (osobní auto, nákladní auto, přívěs, tahač, návěs, nakladač, vysokozdvižný vozík, nízkozdvižný vozík, paletovací vozík apod.) v době nárazu řízen nebo provozován pojistníkem a/nebo pojištěným, příp. byl v jeho vlastnictví, </w:t>
      </w:r>
      <w:r w:rsidR="0005679F" w:rsidRPr="009930D9">
        <w:t>správě nebo pod jeho kontrolou.</w:t>
      </w:r>
    </w:p>
    <w:p w14:paraId="23CE1092" w14:textId="3CFA8973" w:rsidR="00563B7A" w:rsidRPr="009930D9" w:rsidRDefault="002007B3" w:rsidP="00396DE4">
      <w:pPr>
        <w:pStyle w:val="Nadpis3"/>
        <w:numPr>
          <w:ilvl w:val="0"/>
          <w:numId w:val="0"/>
        </w:numPr>
        <w:jc w:val="both"/>
      </w:pPr>
      <w:r w:rsidRPr="009930D9">
        <w:t>Pojistné nebezpečí v</w:t>
      </w:r>
      <w:r w:rsidR="00563B7A" w:rsidRPr="009930D9">
        <w:t>odovo</w:t>
      </w:r>
      <w:r w:rsidR="00895245" w:rsidRPr="009930D9">
        <w:t>dní škody</w:t>
      </w:r>
    </w:p>
    <w:p w14:paraId="335E803D" w14:textId="427A2177" w:rsidR="004712B3" w:rsidRPr="009930D9" w:rsidRDefault="00741DE4" w:rsidP="0020348C">
      <w:pPr>
        <w:jc w:val="both"/>
      </w:pPr>
      <w:r w:rsidRPr="009930D9">
        <w:t>Ujednává se, že z</w:t>
      </w:r>
      <w:r w:rsidR="00563B7A" w:rsidRPr="009930D9">
        <w:t>a vodu vytékající z vodovodních zařízení se považuje i voda</w:t>
      </w:r>
      <w:r w:rsidR="00273AE8" w:rsidRPr="009930D9">
        <w:t>, vodní pára</w:t>
      </w:r>
      <w:r w:rsidR="00F74FAE" w:rsidRPr="009930D9">
        <w:t xml:space="preserve"> nebo </w:t>
      </w:r>
      <w:r w:rsidR="00273AE8" w:rsidRPr="009930D9">
        <w:t xml:space="preserve">jiná </w:t>
      </w:r>
      <w:r w:rsidR="00F74FAE" w:rsidRPr="009930D9">
        <w:t>kapalina</w:t>
      </w:r>
      <w:r w:rsidR="00273AE8" w:rsidRPr="009930D9">
        <w:t xml:space="preserve"> </w:t>
      </w:r>
      <w:r w:rsidR="0007700E" w:rsidRPr="009930D9">
        <w:t>/ tekutina</w:t>
      </w:r>
      <w:r w:rsidR="00563B7A" w:rsidRPr="009930D9">
        <w:t xml:space="preserve"> vytékající z</w:t>
      </w:r>
      <w:r w:rsidR="00851BD1" w:rsidRPr="009930D9">
        <w:t> jakékoliv příčiny z</w:t>
      </w:r>
      <w:r w:rsidR="00563B7A" w:rsidRPr="009930D9">
        <w:t xml:space="preserve"> řádně in</w:t>
      </w:r>
      <w:r w:rsidR="00BC0B88" w:rsidRPr="009930D9">
        <w:t xml:space="preserve">stalovaných klimatizačních nebo </w:t>
      </w:r>
      <w:r w:rsidR="00563B7A" w:rsidRPr="009930D9">
        <w:t>samočinných hasicích zařízení (</w:t>
      </w:r>
      <w:proofErr w:type="spellStart"/>
      <w:r w:rsidR="00563B7A" w:rsidRPr="009930D9">
        <w:t>sprinklery</w:t>
      </w:r>
      <w:proofErr w:type="spellEnd"/>
      <w:r w:rsidR="00563B7A" w:rsidRPr="009930D9">
        <w:t xml:space="preserve">, </w:t>
      </w:r>
      <w:proofErr w:type="spellStart"/>
      <w:r w:rsidR="00563B7A" w:rsidRPr="009930D9">
        <w:t>drenčery</w:t>
      </w:r>
      <w:proofErr w:type="spellEnd"/>
      <w:r w:rsidR="00563B7A" w:rsidRPr="009930D9">
        <w:t xml:space="preserve"> apod.), vnitřních a v</w:t>
      </w:r>
      <w:r w:rsidR="00214C72" w:rsidRPr="009930D9">
        <w:t xml:space="preserve">nějších vedení, </w:t>
      </w:r>
      <w:r w:rsidR="00FF7DF2" w:rsidRPr="009930D9">
        <w:t xml:space="preserve">rozvodů, </w:t>
      </w:r>
      <w:r w:rsidR="00BC0B88" w:rsidRPr="009930D9">
        <w:t>odpadních potrubí</w:t>
      </w:r>
      <w:r w:rsidR="00214C72" w:rsidRPr="009930D9">
        <w:t xml:space="preserve">, </w:t>
      </w:r>
      <w:r w:rsidR="00563B7A" w:rsidRPr="009930D9">
        <w:t xml:space="preserve">svodů dešťové vody, </w:t>
      </w:r>
      <w:r w:rsidR="008031BC" w:rsidRPr="009930D9">
        <w:t xml:space="preserve">z nádrží, </w:t>
      </w:r>
      <w:r w:rsidR="00360E6F" w:rsidRPr="009930D9">
        <w:t>zařízení</w:t>
      </w:r>
      <w:r w:rsidR="0007700E" w:rsidRPr="009930D9">
        <w:t xml:space="preserve"> a</w:t>
      </w:r>
      <w:r w:rsidR="00360E6F" w:rsidRPr="009930D9">
        <w:t xml:space="preserve"> </w:t>
      </w:r>
      <w:r w:rsidR="00563B7A" w:rsidRPr="009930D9">
        <w:t>rozvodů dalších kapalin / tekutin</w:t>
      </w:r>
      <w:r w:rsidRPr="009930D9">
        <w:t xml:space="preserve"> </w:t>
      </w:r>
      <w:r w:rsidR="00563B7A" w:rsidRPr="009930D9">
        <w:t xml:space="preserve">apod. Pojistitel poskytne pojistné plnění i za </w:t>
      </w:r>
      <w:r w:rsidR="00534064" w:rsidRPr="009930D9">
        <w:t>náklady</w:t>
      </w:r>
      <w:r w:rsidR="00E31562" w:rsidRPr="009930D9">
        <w:t xml:space="preserve"> n</w:t>
      </w:r>
      <w:r w:rsidR="002A379B" w:rsidRPr="009930D9">
        <w:t>a vyhledání místa příčiny škody</w:t>
      </w:r>
      <w:r w:rsidR="00895245" w:rsidRPr="009930D9">
        <w:t xml:space="preserve"> </w:t>
      </w:r>
      <w:r w:rsidR="00E31562" w:rsidRPr="009930D9">
        <w:t>a</w:t>
      </w:r>
      <w:r w:rsidR="00CD474E" w:rsidRPr="009930D9">
        <w:t xml:space="preserve"> odstranění závady,</w:t>
      </w:r>
      <w:r w:rsidR="0020348C" w:rsidRPr="009930D9">
        <w:t xml:space="preserve"> </w:t>
      </w:r>
      <w:r w:rsidR="00534064" w:rsidRPr="009930D9">
        <w:t>tj. opravu</w:t>
      </w:r>
      <w:r w:rsidR="00FF7DF2" w:rsidRPr="009930D9">
        <w:t>, případně výměnu</w:t>
      </w:r>
      <w:r w:rsidR="00534064" w:rsidRPr="009930D9">
        <w:t xml:space="preserve"> </w:t>
      </w:r>
      <w:r w:rsidR="00B52D48" w:rsidRPr="009930D9">
        <w:t>havárií</w:t>
      </w:r>
      <w:r w:rsidR="00AD43FB" w:rsidRPr="009930D9">
        <w:t xml:space="preserve"> bezprostředně</w:t>
      </w:r>
      <w:r w:rsidR="00B52D48" w:rsidRPr="009930D9">
        <w:t xml:space="preserve"> </w:t>
      </w:r>
      <w:r w:rsidR="00563B7A" w:rsidRPr="009930D9">
        <w:t>poškozené</w:t>
      </w:r>
      <w:r w:rsidR="00534064" w:rsidRPr="009930D9">
        <w:t>ho</w:t>
      </w:r>
      <w:r w:rsidR="00563B7A" w:rsidRPr="009930D9">
        <w:t xml:space="preserve"> nebo znič</w:t>
      </w:r>
      <w:r w:rsidR="00214C72" w:rsidRPr="009930D9">
        <w:t>ené</w:t>
      </w:r>
      <w:r w:rsidR="00534064" w:rsidRPr="009930D9">
        <w:t>ho</w:t>
      </w:r>
      <w:r w:rsidR="00214C72" w:rsidRPr="009930D9">
        <w:t xml:space="preserve"> přívodní</w:t>
      </w:r>
      <w:r w:rsidR="00534064" w:rsidRPr="009930D9">
        <w:t>ho</w:t>
      </w:r>
      <w:r w:rsidR="0020348C" w:rsidRPr="009930D9">
        <w:t xml:space="preserve"> </w:t>
      </w:r>
      <w:r w:rsidR="00214C72" w:rsidRPr="009930D9">
        <w:t>a odpadové</w:t>
      </w:r>
      <w:r w:rsidR="00534064" w:rsidRPr="009930D9">
        <w:t>ho</w:t>
      </w:r>
      <w:r w:rsidR="00214C72" w:rsidRPr="009930D9">
        <w:t xml:space="preserve"> potrubí</w:t>
      </w:r>
      <w:r w:rsidR="0020348C" w:rsidRPr="009930D9">
        <w:t>. Pojištění</w:t>
      </w:r>
      <w:r w:rsidR="002A379B" w:rsidRPr="009930D9">
        <w:t xml:space="preserve"> se vztahuje</w:t>
      </w:r>
      <w:r w:rsidR="00D243D4" w:rsidRPr="009930D9">
        <w:t xml:space="preserve"> </w:t>
      </w:r>
      <w:r w:rsidR="0020348C" w:rsidRPr="009930D9">
        <w:t>i na poškození vodovodního zařízení uvnitř budovy v důsledku jeho prasknutí způsobeného zamrznutím.</w:t>
      </w:r>
    </w:p>
    <w:p w14:paraId="4B6A7DC6" w14:textId="77777777" w:rsidR="00563B7A" w:rsidRPr="009930D9" w:rsidRDefault="002007B3" w:rsidP="00396DE4">
      <w:pPr>
        <w:pStyle w:val="Nadpis3"/>
        <w:numPr>
          <w:ilvl w:val="0"/>
          <w:numId w:val="0"/>
        </w:numPr>
        <w:jc w:val="both"/>
      </w:pPr>
      <w:r w:rsidRPr="009930D9">
        <w:t>Pojištění z</w:t>
      </w:r>
      <w:r w:rsidR="00563B7A" w:rsidRPr="009930D9">
        <w:t>pětné</w:t>
      </w:r>
      <w:r w:rsidRPr="009930D9">
        <w:t>ho</w:t>
      </w:r>
      <w:r w:rsidR="00563B7A" w:rsidRPr="009930D9">
        <w:t xml:space="preserve"> vystoupení vody z kanalizačního potrubí</w:t>
      </w:r>
    </w:p>
    <w:p w14:paraId="4F67F80F" w14:textId="53BF355D" w:rsidR="00563B7A" w:rsidRPr="009930D9" w:rsidRDefault="00A651A7" w:rsidP="00DC097E">
      <w:pPr>
        <w:jc w:val="both"/>
      </w:pPr>
      <w:r w:rsidRPr="009930D9">
        <w:t xml:space="preserve">Ujednává se, že </w:t>
      </w:r>
      <w:r w:rsidR="000C34A8" w:rsidRPr="009930D9">
        <w:t>p</w:t>
      </w:r>
      <w:r w:rsidR="00563B7A" w:rsidRPr="009930D9">
        <w:t xml:space="preserve">ojistné nebezpečí záplava, povodeň, atmosférické srážky, vodovodní škody apod. </w:t>
      </w:r>
      <w:r w:rsidRPr="009930D9">
        <w:t xml:space="preserve">se </w:t>
      </w:r>
      <w:r w:rsidR="00563B7A" w:rsidRPr="009930D9">
        <w:t>vztahuj</w:t>
      </w:r>
      <w:r w:rsidR="000C34A8" w:rsidRPr="009930D9">
        <w:t>í</w:t>
      </w:r>
      <w:r w:rsidR="00563B7A" w:rsidRPr="009930D9">
        <w:t xml:space="preserve"> též na škody vzniklé zpětným vystoupením vody z kanalizačních potrubí</w:t>
      </w:r>
      <w:r w:rsidR="00895245" w:rsidRPr="009930D9">
        <w:t xml:space="preserve"> </w:t>
      </w:r>
      <w:r w:rsidR="008C3514" w:rsidRPr="009930D9">
        <w:t>a okapových svodů.</w:t>
      </w:r>
      <w:r w:rsidR="00563B7A" w:rsidRPr="009930D9">
        <w:t xml:space="preserve"> Aplikuje se vždy nejnižší spoluúčast z</w:t>
      </w:r>
      <w:r w:rsidR="0039141E" w:rsidRPr="009930D9">
        <w:t> </w:t>
      </w:r>
      <w:r w:rsidR="00563B7A" w:rsidRPr="009930D9">
        <w:t>uvedených</w:t>
      </w:r>
      <w:r w:rsidR="0039141E" w:rsidRPr="009930D9">
        <w:t xml:space="preserve"> pojistných</w:t>
      </w:r>
      <w:r w:rsidR="00563B7A" w:rsidRPr="009930D9">
        <w:t xml:space="preserve"> nebezpečí. To</w:t>
      </w:r>
      <w:r w:rsidR="00F669D1" w:rsidRPr="009930D9">
        <w:t>to pojištění se sjednává na 1.</w:t>
      </w:r>
      <w:r w:rsidR="00225C5D" w:rsidRPr="009930D9">
        <w:t xml:space="preserve"> riziko</w:t>
      </w:r>
      <w:r w:rsidR="00563B7A" w:rsidRPr="009930D9">
        <w:t>.</w:t>
      </w:r>
    </w:p>
    <w:p w14:paraId="62A43D33" w14:textId="77777777" w:rsidR="00563B7A" w:rsidRPr="009930D9" w:rsidRDefault="002007B3" w:rsidP="00396DE4">
      <w:pPr>
        <w:pStyle w:val="Nadpis3"/>
        <w:numPr>
          <w:ilvl w:val="0"/>
          <w:numId w:val="0"/>
        </w:numPr>
        <w:jc w:val="both"/>
      </w:pPr>
      <w:r w:rsidRPr="009930D9">
        <w:t xml:space="preserve">Pojistné nebezpečí </w:t>
      </w:r>
      <w:r w:rsidR="000175DA" w:rsidRPr="009930D9">
        <w:t>nepří</w:t>
      </w:r>
      <w:r w:rsidRPr="009930D9">
        <w:t>mý</w:t>
      </w:r>
      <w:r w:rsidR="000175DA" w:rsidRPr="009930D9">
        <w:t xml:space="preserve"> úder blesku</w:t>
      </w:r>
    </w:p>
    <w:p w14:paraId="51CCC0FE" w14:textId="2A6D09C7" w:rsidR="00971AEC" w:rsidRPr="009930D9" w:rsidRDefault="001D5708" w:rsidP="00DC097E">
      <w:pPr>
        <w:jc w:val="both"/>
      </w:pPr>
      <w:r w:rsidRPr="009930D9">
        <w:t>Ujednává</w:t>
      </w:r>
      <w:r w:rsidR="00563B7A" w:rsidRPr="009930D9">
        <w:t xml:space="preserve"> se</w:t>
      </w:r>
      <w:r w:rsidRPr="009930D9">
        <w:t>, že se pojištění</w:t>
      </w:r>
      <w:r w:rsidR="00563B7A" w:rsidRPr="009930D9">
        <w:t xml:space="preserve"> vztahuje také na škody vzniklé v důsledku nepřímého úderu blesku</w:t>
      </w:r>
      <w:r w:rsidR="008C3514" w:rsidRPr="009930D9">
        <w:t xml:space="preserve">, </w:t>
      </w:r>
      <w:r w:rsidR="00563B7A" w:rsidRPr="009930D9">
        <w:t>ind</w:t>
      </w:r>
      <w:r w:rsidR="00774C9E" w:rsidRPr="009930D9">
        <w:t xml:space="preserve">ukce, </w:t>
      </w:r>
      <w:r w:rsidR="00997946" w:rsidRPr="009930D9">
        <w:t xml:space="preserve">zkratu, opakovaného zapnutí/vypnutí přívodu elektrické energie, </w:t>
      </w:r>
      <w:r w:rsidR="00563B7A" w:rsidRPr="009930D9">
        <w:t>přepětí</w:t>
      </w:r>
      <w:r w:rsidR="00F74FAE" w:rsidRPr="009930D9">
        <w:t xml:space="preserve"> či podpětí</w:t>
      </w:r>
      <w:r w:rsidR="00895245" w:rsidRPr="009930D9">
        <w:t xml:space="preserve"> </w:t>
      </w:r>
      <w:r w:rsidR="00774C9E" w:rsidRPr="009930D9">
        <w:t>i bez viditelných destrukčních účinků na věci nebo na budově</w:t>
      </w:r>
      <w:r w:rsidR="003C6DED" w:rsidRPr="009930D9">
        <w:t xml:space="preserve"> a stavbě</w:t>
      </w:r>
      <w:r w:rsidR="00563B7A" w:rsidRPr="009930D9">
        <w:t>.</w:t>
      </w:r>
    </w:p>
    <w:p w14:paraId="3714A697" w14:textId="77777777" w:rsidR="00F74FAE" w:rsidRPr="009930D9" w:rsidRDefault="00F74FAE" w:rsidP="00F74FAE">
      <w:pPr>
        <w:pStyle w:val="Nadpis3"/>
        <w:numPr>
          <w:ilvl w:val="0"/>
          <w:numId w:val="0"/>
        </w:numPr>
        <w:jc w:val="both"/>
      </w:pPr>
      <w:r w:rsidRPr="009930D9">
        <w:t>Pojistné nebezpečí atmosférické srážky</w:t>
      </w:r>
    </w:p>
    <w:p w14:paraId="2E47D249" w14:textId="77777777" w:rsidR="00F74FAE" w:rsidRPr="009930D9" w:rsidRDefault="00F74FAE" w:rsidP="00F74FAE">
      <w:pPr>
        <w:jc w:val="both"/>
      </w:pPr>
      <w:r w:rsidRPr="009930D9">
        <w:t>Ujednává se, že se pojištění vztahuje také na škody způsobené na pojištěném majetku atmosférickými srážkami, tj. působením vody, která vnikla nebo prosákla do pojištěného prostoru, či plochy deštěm, tajícím sněhem nebo ledem nebo vodou ze zahlcených svodů dešťové vod</w:t>
      </w:r>
      <w:r w:rsidR="0005679F" w:rsidRPr="009930D9">
        <w:t>y, bez ohledu na srážkový úhrn.</w:t>
      </w:r>
    </w:p>
    <w:p w14:paraId="145B15C9" w14:textId="77777777" w:rsidR="006E18D0" w:rsidRPr="009930D9" w:rsidRDefault="002007B3" w:rsidP="00396DE4">
      <w:pPr>
        <w:pStyle w:val="Nadpis3"/>
        <w:numPr>
          <w:ilvl w:val="0"/>
          <w:numId w:val="0"/>
        </w:numPr>
        <w:jc w:val="both"/>
      </w:pPr>
      <w:r w:rsidRPr="009930D9">
        <w:t>Pojistné nebezpečí porucha</w:t>
      </w:r>
      <w:r w:rsidR="00137135" w:rsidRPr="009930D9">
        <w:t xml:space="preserve"> </w:t>
      </w:r>
      <w:r w:rsidR="00EF7961" w:rsidRPr="009930D9">
        <w:t>chladicích</w:t>
      </w:r>
      <w:r w:rsidR="00C107CF" w:rsidRPr="009930D9">
        <w:t xml:space="preserve"> a/</w:t>
      </w:r>
      <w:r w:rsidR="00F74FAE" w:rsidRPr="009930D9">
        <w:t>nebo mrazicích</w:t>
      </w:r>
      <w:r w:rsidR="00EF7961" w:rsidRPr="009930D9">
        <w:t xml:space="preserve"> zařízení</w:t>
      </w:r>
    </w:p>
    <w:p w14:paraId="055F7CA4" w14:textId="73DAEC5A" w:rsidR="00D243D4" w:rsidRPr="009930D9" w:rsidRDefault="006E18D0" w:rsidP="006E18D0">
      <w:pPr>
        <w:jc w:val="both"/>
      </w:pPr>
      <w:r w:rsidRPr="009930D9">
        <w:t xml:space="preserve">Ujednává se, že se pojištění vztahuje i na </w:t>
      </w:r>
      <w:r w:rsidR="00D243D4" w:rsidRPr="009930D9">
        <w:t>poškození nebo zničení zásob uskladněných v chladicích a/nebo mrazicích zařízeních, pokud k takovému poškození nebo zničení došlo v důsledku náhlého výpadku elektrické energie z veřejné elektrické sítě, a to za předpokladu, že toto přerušení trvalo nepřetržitě po dobu nejméně 10 hodin a nebylo způsobeno předem oznámeným nebo úmyslným vypojením přívodu energie ze strany dodavatele a nebylo z</w:t>
      </w:r>
      <w:r w:rsidR="00E67554">
        <w:t>aviněno pracovníky pojištěného</w:t>
      </w:r>
      <w:r w:rsidR="00D243D4" w:rsidRPr="009930D9">
        <w:t>.</w:t>
      </w:r>
    </w:p>
    <w:p w14:paraId="3B3D5108" w14:textId="77777777" w:rsidR="00D243D4" w:rsidRPr="009930D9" w:rsidRDefault="00D243D4" w:rsidP="00895245">
      <w:pPr>
        <w:spacing w:before="0"/>
        <w:jc w:val="both"/>
      </w:pPr>
      <w:r w:rsidRPr="009930D9">
        <w:t>Pojištění se vztahuje také na případy, kdy přerušení dodávek nebo vypnutí elektrické energie bude nutné jako preventivní opatření z důvodu zabránění jiných škod na majetku nebo na zdraví.</w:t>
      </w:r>
    </w:p>
    <w:p w14:paraId="3A5A7540" w14:textId="77777777" w:rsidR="00D243D4" w:rsidRPr="009930D9" w:rsidRDefault="00D243D4" w:rsidP="00F647A5">
      <w:pPr>
        <w:spacing w:before="0"/>
        <w:jc w:val="both"/>
      </w:pPr>
      <w:r w:rsidRPr="009930D9">
        <w:t xml:space="preserve">Pojistitel poskytne pojistné plnění za poškozený nebo zničený obsah uložený v chladicích a/nebo mrazicích zařízeních za předpokladu, že pojištěný vede řádnou evidenci o druhu a množství uložených zásob, aby byl v případě pojistné události obsah zařízení dokladovatelný; udržuje zařízení v provozuschopném stavu a zajišťuje pravidelné revize, zkoušky apod., jsou-li zákonem </w:t>
      </w:r>
      <w:r w:rsidRPr="009930D9">
        <w:lastRenderedPageBreak/>
        <w:t>předepsány; při přerušení dodávky proudu nebo při poruše zařízení vykonává všechna potřebná opatření zabraňující zkáze obsahu zařízení.</w:t>
      </w:r>
    </w:p>
    <w:p w14:paraId="3B50EDD2" w14:textId="77777777" w:rsidR="00563B7A" w:rsidRPr="009930D9" w:rsidRDefault="00563B7A" w:rsidP="00474105">
      <w:pPr>
        <w:pStyle w:val="Nadpis3"/>
        <w:numPr>
          <w:ilvl w:val="0"/>
          <w:numId w:val="0"/>
        </w:numPr>
        <w:jc w:val="both"/>
      </w:pPr>
      <w:r w:rsidRPr="009930D9">
        <w:t>Stavební</w:t>
      </w:r>
      <w:r w:rsidR="00146987" w:rsidRPr="009930D9">
        <w:t>,</w:t>
      </w:r>
      <w:r w:rsidRPr="009930D9">
        <w:t xml:space="preserve"> montážní </w:t>
      </w:r>
      <w:r w:rsidR="00146987" w:rsidRPr="009930D9">
        <w:t xml:space="preserve">a servisní </w:t>
      </w:r>
      <w:r w:rsidR="005B289F" w:rsidRPr="009930D9">
        <w:t>práce</w:t>
      </w:r>
      <w:r w:rsidRPr="009930D9">
        <w:t xml:space="preserve"> </w:t>
      </w:r>
    </w:p>
    <w:p w14:paraId="2AC05567" w14:textId="3D564FF8" w:rsidR="00BA7F2A" w:rsidRPr="009930D9" w:rsidRDefault="00A651A7" w:rsidP="00DC097E">
      <w:pPr>
        <w:jc w:val="both"/>
      </w:pPr>
      <w:r w:rsidRPr="009930D9">
        <w:t xml:space="preserve">Ujednává se, že se </w:t>
      </w:r>
      <w:r w:rsidR="002541F7" w:rsidRPr="009930D9">
        <w:t>pojištění vztahuje i na budovy a stavby</w:t>
      </w:r>
      <w:r w:rsidR="00A625C5" w:rsidRPr="009930D9">
        <w:t>, na</w:t>
      </w:r>
      <w:r w:rsidR="001D668D" w:rsidRPr="009930D9">
        <w:t xml:space="preserve"> kterých jsou</w:t>
      </w:r>
      <w:r w:rsidR="00563B7A" w:rsidRPr="009930D9">
        <w:t xml:space="preserve"> prováděny stavební práce, instalace, montáže</w:t>
      </w:r>
      <w:r w:rsidR="00146987" w:rsidRPr="009930D9">
        <w:t>,</w:t>
      </w:r>
      <w:r w:rsidR="00563B7A" w:rsidRPr="009930D9">
        <w:t xml:space="preserve"> provozní montáže</w:t>
      </w:r>
      <w:r w:rsidR="00146987" w:rsidRPr="009930D9">
        <w:t>,</w:t>
      </w:r>
      <w:r w:rsidR="00563B7A" w:rsidRPr="009930D9">
        <w:t xml:space="preserve"> </w:t>
      </w:r>
      <w:r w:rsidR="00146987" w:rsidRPr="009930D9">
        <w:t xml:space="preserve">servisní práce </w:t>
      </w:r>
      <w:r w:rsidR="00563B7A" w:rsidRPr="009930D9">
        <w:t>apod. bez ohledu na to</w:t>
      </w:r>
      <w:r w:rsidR="005B289F" w:rsidRPr="009930D9">
        <w:t>,</w:t>
      </w:r>
      <w:r w:rsidR="002C586C" w:rsidRPr="009930D9">
        <w:t xml:space="preserve"> zda je</w:t>
      </w:r>
      <w:r w:rsidR="00895245" w:rsidRPr="009930D9">
        <w:t xml:space="preserve"> </w:t>
      </w:r>
      <w:r w:rsidR="00563B7A" w:rsidRPr="009930D9">
        <w:t xml:space="preserve">pro takové práce nutné stavební povolení. </w:t>
      </w:r>
      <w:r w:rsidR="003312F6" w:rsidRPr="009930D9">
        <w:t xml:space="preserve">Pojištění se vztahuje i na movité věci, zásoby a další předměty pojištění umístěné v těchto </w:t>
      </w:r>
      <w:r w:rsidR="002541F7" w:rsidRPr="009930D9">
        <w:t>budovách a stavbách</w:t>
      </w:r>
      <w:r w:rsidR="00B26428" w:rsidRPr="009930D9">
        <w:t>.</w:t>
      </w:r>
      <w:r w:rsidR="005B289F" w:rsidRPr="009930D9">
        <w:t xml:space="preserve"> </w:t>
      </w:r>
      <w:r w:rsidR="00563B7A" w:rsidRPr="009930D9">
        <w:t>Pojištění podle tohoto smluvního ujednání se sjednává v rozsahu pojistných nebezpečí sjednaných t</w:t>
      </w:r>
      <w:r w:rsidR="00655181" w:rsidRPr="009930D9">
        <w:t>outo smlouvou.</w:t>
      </w:r>
    </w:p>
    <w:p w14:paraId="2F99082A" w14:textId="77777777" w:rsidR="00CD745C" w:rsidRPr="009930D9" w:rsidRDefault="00CD745C" w:rsidP="00CD745C">
      <w:pPr>
        <w:pStyle w:val="Nadpis3"/>
        <w:numPr>
          <w:ilvl w:val="0"/>
          <w:numId w:val="0"/>
        </w:numPr>
        <w:jc w:val="both"/>
      </w:pPr>
      <w:r w:rsidRPr="009930D9">
        <w:t xml:space="preserve">Škody způsobené zvířetem, ptactvem a/nebo hmyzem </w:t>
      </w:r>
    </w:p>
    <w:p w14:paraId="1CDB127F" w14:textId="77777777" w:rsidR="00CD745C" w:rsidRPr="009930D9" w:rsidRDefault="00CD745C" w:rsidP="00CD745C">
      <w:pPr>
        <w:jc w:val="both"/>
      </w:pPr>
      <w:r w:rsidRPr="009930D9">
        <w:t>Ujednává se, že se pojištění vztahuje i na škody způsobené poškozením pojištěných předmětů pojištění jakýmkoli zvířetem, ptactvem a/nebo hmyzem. Vynaložil-li pojištěný po pojistné události náklady na konzervaci pojištěné věci (např. prevence proti opětovnému poškození pojištěné věci), budou součástí pojistného pln</w:t>
      </w:r>
      <w:r w:rsidR="0005679F" w:rsidRPr="009930D9">
        <w:t>ění i takto vynaložené náklady.</w:t>
      </w:r>
    </w:p>
    <w:p w14:paraId="1B614072" w14:textId="77777777" w:rsidR="0005679F" w:rsidRPr="009930D9" w:rsidRDefault="0005679F">
      <w:pPr>
        <w:spacing w:before="0" w:line="240" w:lineRule="auto"/>
      </w:pPr>
    </w:p>
    <w:p w14:paraId="7CF212A1" w14:textId="77777777" w:rsidR="00202D60" w:rsidRPr="009930D9" w:rsidRDefault="00202D60">
      <w:pPr>
        <w:spacing w:before="0" w:line="240" w:lineRule="auto"/>
      </w:pPr>
    </w:p>
    <w:p w14:paraId="6DC193AF" w14:textId="77777777" w:rsidR="00542183" w:rsidRPr="009930D9" w:rsidRDefault="00542183" w:rsidP="00542183">
      <w:pPr>
        <w:pStyle w:val="Nadpis1"/>
        <w:numPr>
          <w:ilvl w:val="0"/>
          <w:numId w:val="0"/>
        </w:numPr>
        <w:jc w:val="both"/>
      </w:pPr>
      <w:r w:rsidRPr="009930D9">
        <w:t>POJIŠTĚNÍ SKEL</w:t>
      </w:r>
    </w:p>
    <w:p w14:paraId="364BA1AD" w14:textId="77777777" w:rsidR="00146987" w:rsidRPr="009930D9" w:rsidRDefault="00402550" w:rsidP="00542183">
      <w:pPr>
        <w:pStyle w:val="Nadpis3"/>
        <w:numPr>
          <w:ilvl w:val="0"/>
          <w:numId w:val="0"/>
        </w:numPr>
        <w:spacing w:before="60"/>
        <w:jc w:val="both"/>
      </w:pPr>
      <w:r w:rsidRPr="009930D9">
        <w:t xml:space="preserve">Pojistné nebezpečí rozbití skla </w:t>
      </w:r>
    </w:p>
    <w:p w14:paraId="0E86427E" w14:textId="07A643EE" w:rsidR="00402550" w:rsidRPr="009930D9" w:rsidRDefault="004E5FCE" w:rsidP="00396DE4">
      <w:pPr>
        <w:jc w:val="both"/>
      </w:pPr>
      <w:r w:rsidRPr="009930D9">
        <w:t>Ujednává se, že z</w:t>
      </w:r>
      <w:r w:rsidR="0044352F" w:rsidRPr="009930D9">
        <w:t>a soubor vnitřních i vnějších skel se považuje soubor skel oken, výloh, zrcadel, světlíků, skleníků, vitrín, pultů, veřejného osvětlení, markýz, světelných reklam a nápisů včetně jejich elektrické instalace a nosné konstrukce, vnitřních stěn, vstupních dveří</w:t>
      </w:r>
      <w:r w:rsidR="006839F4">
        <w:t xml:space="preserve"> </w:t>
      </w:r>
      <w:r w:rsidR="0044352F" w:rsidRPr="009930D9">
        <w:t>a případné provizorní zasklení (např. plexisklo), ve všech případech bez ohledu na tloušťku jednotlivého skla / celého zasklení, včetně nalepených folií, nápisů a čidel elektrické zabezpečovací signalizace příp. jiné signalizace na těchto sklech, soubor sanitární keramiky, laboratorního skla, zastřešení bazénů, nášlapného</w:t>
      </w:r>
      <w:r w:rsidR="006839F4">
        <w:t xml:space="preserve"> </w:t>
      </w:r>
      <w:r w:rsidR="0044352F" w:rsidRPr="009930D9">
        <w:t>/</w:t>
      </w:r>
      <w:r w:rsidR="006839F4">
        <w:t xml:space="preserve"> </w:t>
      </w:r>
      <w:proofErr w:type="spellStart"/>
      <w:r w:rsidR="0044352F" w:rsidRPr="009930D9">
        <w:t>pochozího</w:t>
      </w:r>
      <w:proofErr w:type="spellEnd"/>
      <w:r w:rsidR="0044352F" w:rsidRPr="009930D9">
        <w:t xml:space="preserve"> skla apod.</w:t>
      </w:r>
    </w:p>
    <w:p w14:paraId="4FB18AAE" w14:textId="77777777" w:rsidR="001038B6" w:rsidRPr="009930D9" w:rsidRDefault="0044352F" w:rsidP="00895245">
      <w:pPr>
        <w:spacing w:before="0"/>
        <w:jc w:val="both"/>
      </w:pPr>
      <w:r w:rsidRPr="009930D9">
        <w:t>Pojištění se vztahuje také na náklady na nouzové zabezpečení výplně po rozbitém skle,</w:t>
      </w:r>
      <w:r w:rsidR="001038B6" w:rsidRPr="009930D9">
        <w:t xml:space="preserve"> na lešení nebo jiné pomocné prostředky nutné k provedení opravy zasklení, na montáž</w:t>
      </w:r>
      <w:r w:rsidRPr="009930D9">
        <w:t xml:space="preserve"> </w:t>
      </w:r>
      <w:r w:rsidR="001038B6" w:rsidRPr="009930D9">
        <w:t>a demontáž</w:t>
      </w:r>
      <w:r w:rsidRPr="009930D9">
        <w:t xml:space="preserve"> stavebních so</w:t>
      </w:r>
      <w:r w:rsidR="001038B6" w:rsidRPr="009930D9">
        <w:t>učástí nutné k provedení</w:t>
      </w:r>
      <w:r w:rsidRPr="009930D9">
        <w:t xml:space="preserve"> osazení okenních tabulí či opravy zasklení (např. ochranných mří</w:t>
      </w:r>
      <w:r w:rsidR="001038B6" w:rsidRPr="009930D9">
        <w:t xml:space="preserve">ží, markýz, uzávěrů oken apod.) a na speciální povrchovou úpravu zasklení. </w:t>
      </w:r>
    </w:p>
    <w:p w14:paraId="692203CF" w14:textId="77777777" w:rsidR="006E0706" w:rsidRPr="009930D9" w:rsidRDefault="00402550" w:rsidP="00895245">
      <w:pPr>
        <w:spacing w:before="0"/>
        <w:jc w:val="both"/>
      </w:pPr>
      <w:r w:rsidRPr="009930D9">
        <w:t xml:space="preserve">Dále se pojištění rozbití skel vztahuje i na </w:t>
      </w:r>
      <w:r w:rsidR="002D2484" w:rsidRPr="009930D9">
        <w:t>úmyslné poškození pojištěných skel malbami, nástřiky</w:t>
      </w:r>
      <w:r w:rsidR="0038245D" w:rsidRPr="009930D9">
        <w:t>, rytím</w:t>
      </w:r>
      <w:r w:rsidR="00851BD1" w:rsidRPr="009930D9">
        <w:t xml:space="preserve"> nebo polepením</w:t>
      </w:r>
      <w:r w:rsidR="005D679C" w:rsidRPr="009930D9">
        <w:t>., či jiným znehodnocením, které omezuje funkci nebo estetický vzhled skla.</w:t>
      </w:r>
    </w:p>
    <w:p w14:paraId="58F90ACB" w14:textId="4A33C62F" w:rsidR="00AE145C" w:rsidRPr="009930D9" w:rsidRDefault="006839F4" w:rsidP="00396DE4">
      <w:pPr>
        <w:jc w:val="both"/>
      </w:pPr>
      <w:r w:rsidRPr="00426CE9">
        <w:rPr>
          <w:sz w:val="18"/>
          <w:szCs w:val="18"/>
        </w:rPr>
        <w:t>Pojištění se vztahuje i na skleněné pulty, vitríny a skleněné stěny uvnitř budovy</w:t>
      </w:r>
    </w:p>
    <w:p w14:paraId="651FEB7B" w14:textId="77777777" w:rsidR="00202D60" w:rsidRPr="009930D9" w:rsidRDefault="00202D60" w:rsidP="00396DE4">
      <w:pPr>
        <w:jc w:val="both"/>
      </w:pPr>
    </w:p>
    <w:p w14:paraId="1499B071" w14:textId="77777777" w:rsidR="00542183" w:rsidRPr="009930D9" w:rsidRDefault="00542183" w:rsidP="00542183">
      <w:pPr>
        <w:pStyle w:val="Nadpis1"/>
        <w:numPr>
          <w:ilvl w:val="0"/>
          <w:numId w:val="0"/>
        </w:numPr>
        <w:jc w:val="both"/>
      </w:pPr>
      <w:r w:rsidRPr="009930D9">
        <w:t>POJIŠTĚNÍ ODCIZENÍ A VANDALISMU</w:t>
      </w:r>
    </w:p>
    <w:p w14:paraId="6712A1F6" w14:textId="77777777" w:rsidR="00542183" w:rsidRPr="009930D9" w:rsidRDefault="00542183" w:rsidP="00542183">
      <w:pPr>
        <w:pStyle w:val="Nadpis3"/>
        <w:numPr>
          <w:ilvl w:val="0"/>
          <w:numId w:val="0"/>
        </w:numPr>
        <w:spacing w:before="60"/>
        <w:jc w:val="both"/>
      </w:pPr>
      <w:r w:rsidRPr="009930D9">
        <w:t>Ztráta pojištěné věci v důsledku pojistné události</w:t>
      </w:r>
    </w:p>
    <w:p w14:paraId="50DC3C13" w14:textId="77777777" w:rsidR="00542183" w:rsidRPr="009930D9" w:rsidRDefault="00542183" w:rsidP="00542183">
      <w:pPr>
        <w:jc w:val="both"/>
      </w:pPr>
      <w:r w:rsidRPr="009930D9">
        <w:t>Ujednává se, že se pojištění vztahuje také na škody způsobené ztrátou pojištěné věci v přímé souvislosti s pojistnou událostí pojištěnou touto pojistnou smlouvou.</w:t>
      </w:r>
    </w:p>
    <w:p w14:paraId="2BF97959" w14:textId="77777777" w:rsidR="00542183" w:rsidRPr="009930D9" w:rsidRDefault="00542183" w:rsidP="00542183">
      <w:pPr>
        <w:pStyle w:val="Nadpis3"/>
        <w:numPr>
          <w:ilvl w:val="0"/>
          <w:numId w:val="0"/>
        </w:numPr>
        <w:jc w:val="both"/>
      </w:pPr>
      <w:r w:rsidRPr="009930D9">
        <w:t>Náklady na výměnu zámků</w:t>
      </w:r>
    </w:p>
    <w:p w14:paraId="1CB11A02" w14:textId="6A70F1B4" w:rsidR="00542183" w:rsidRPr="009930D9" w:rsidRDefault="00542183" w:rsidP="00542183">
      <w:pPr>
        <w:jc w:val="both"/>
      </w:pPr>
      <w:r w:rsidRPr="009930D9">
        <w:t xml:space="preserve">Pojištění se vztahuje i na náklady na výměnu zámků, včetně potřebného množství klíčů, vnějších či vnitřních dveří budovy na místě pojištění, pokud byly klíče od </w:t>
      </w:r>
      <w:r w:rsidR="00AE145C" w:rsidRPr="009930D9">
        <w:t>nich při pojistné události nebo</w:t>
      </w:r>
      <w:r w:rsidR="00895245" w:rsidRPr="009930D9">
        <w:t xml:space="preserve"> </w:t>
      </w:r>
      <w:r w:rsidRPr="009930D9">
        <w:t>v její souvislosti ztraceny, zničeny nebo poškozeny a to i v případě odcizení klíčů nebo jejich pouhé ztráty.</w:t>
      </w:r>
    </w:p>
    <w:p w14:paraId="513F8DED" w14:textId="77777777" w:rsidR="00542183" w:rsidRPr="009930D9" w:rsidRDefault="00542183" w:rsidP="00542183">
      <w:pPr>
        <w:pStyle w:val="Nadpis3"/>
        <w:numPr>
          <w:ilvl w:val="0"/>
          <w:numId w:val="0"/>
        </w:numPr>
        <w:jc w:val="both"/>
      </w:pPr>
      <w:r w:rsidRPr="009930D9">
        <w:t>Prostá krádež</w:t>
      </w:r>
    </w:p>
    <w:p w14:paraId="0E3496B7" w14:textId="35915AED" w:rsidR="00542183" w:rsidRPr="009930D9" w:rsidRDefault="00542183" w:rsidP="00542183">
      <w:pPr>
        <w:jc w:val="both"/>
      </w:pPr>
      <w:r w:rsidRPr="009930D9">
        <w:t xml:space="preserve">Pojištění se vztahuje i na případy odcizení, při kterých nejsou splněny podmínky zabezpečení definované touto smlouvou či příslušnými </w:t>
      </w:r>
      <w:r w:rsidR="00AE145C" w:rsidRPr="009930D9">
        <w:t xml:space="preserve">VPP, DPP, ZPP </w:t>
      </w:r>
      <w:proofErr w:type="spellStart"/>
      <w:r w:rsidR="00AE145C" w:rsidRPr="009930D9">
        <w:t>apod</w:t>
      </w:r>
      <w:proofErr w:type="spellEnd"/>
      <w:r w:rsidRPr="009930D9">
        <w:t>, a dále též na odcizení pojištěného věci bez jakéhokoliv překonání p</w:t>
      </w:r>
      <w:r w:rsidR="00895245" w:rsidRPr="009930D9">
        <w:t>řekážek) a na pohřešování věci.</w:t>
      </w:r>
    </w:p>
    <w:p w14:paraId="1286A740" w14:textId="77777777" w:rsidR="002C586C" w:rsidRPr="009930D9" w:rsidRDefault="002C586C" w:rsidP="002C586C">
      <w:pPr>
        <w:pStyle w:val="Nadpis3"/>
        <w:numPr>
          <w:ilvl w:val="0"/>
          <w:numId w:val="0"/>
        </w:numPr>
        <w:jc w:val="both"/>
      </w:pPr>
      <w:r w:rsidRPr="009930D9">
        <w:lastRenderedPageBreak/>
        <w:t>Nezjištěný pachatel v pojištění odcizení a vandalismu</w:t>
      </w:r>
    </w:p>
    <w:p w14:paraId="52CB01A3" w14:textId="77777777" w:rsidR="002C586C" w:rsidRPr="009930D9" w:rsidRDefault="002C586C" w:rsidP="002C586C">
      <w:pPr>
        <w:jc w:val="both"/>
      </w:pPr>
      <w:r w:rsidRPr="009930D9">
        <w:t>Pojištění sjednané touto smlouvou se vztahuje i na případy, kdy je pachatel nezjištěn.</w:t>
      </w:r>
    </w:p>
    <w:p w14:paraId="510ABDAE" w14:textId="77777777" w:rsidR="00146987" w:rsidRPr="009930D9" w:rsidRDefault="00466ED2" w:rsidP="00542183">
      <w:pPr>
        <w:pStyle w:val="Nadpis3"/>
        <w:numPr>
          <w:ilvl w:val="0"/>
          <w:numId w:val="0"/>
        </w:numPr>
        <w:jc w:val="both"/>
      </w:pPr>
      <w:r w:rsidRPr="009930D9">
        <w:t xml:space="preserve">Poškození </w:t>
      </w:r>
      <w:r w:rsidR="00417DED" w:rsidRPr="009930D9">
        <w:t>malbou, rytím apod.</w:t>
      </w:r>
      <w:r w:rsidRPr="009930D9">
        <w:t xml:space="preserve"> </w:t>
      </w:r>
      <w:r w:rsidR="002A379B" w:rsidRPr="009930D9">
        <w:t>(Sprejeři)</w:t>
      </w:r>
    </w:p>
    <w:p w14:paraId="241B9288" w14:textId="77777777" w:rsidR="00417DED" w:rsidRPr="009930D9" w:rsidRDefault="004E5FCE" w:rsidP="00DC097E">
      <w:pPr>
        <w:jc w:val="both"/>
      </w:pPr>
      <w:r w:rsidRPr="009930D9">
        <w:t>Ujednává se, že</w:t>
      </w:r>
      <w:r w:rsidR="00417DED" w:rsidRPr="009930D9">
        <w:t xml:space="preserve"> se</w:t>
      </w:r>
      <w:r w:rsidRPr="009930D9">
        <w:t xml:space="preserve"> pojištění</w:t>
      </w:r>
      <w:r w:rsidR="00417DED" w:rsidRPr="009930D9">
        <w:t xml:space="preserve"> vztahuje i na škody způsobené znečištěním (vnějším a/nebo vnitřním). Za znečištění se považuje úmyslné poškození pojištěné věci nápisem, malbou, rytím, polepením </w:t>
      </w:r>
      <w:r w:rsidR="00043F23" w:rsidRPr="009930D9">
        <w:t>a/nebo</w:t>
      </w:r>
      <w:r w:rsidR="00417DED" w:rsidRPr="009930D9">
        <w:t xml:space="preserve"> jiným obdobným způsobem.</w:t>
      </w:r>
    </w:p>
    <w:p w14:paraId="50D12879" w14:textId="1509BF22" w:rsidR="00971AEC" w:rsidRPr="009930D9" w:rsidRDefault="001B66EC" w:rsidP="00895245">
      <w:pPr>
        <w:spacing w:before="0"/>
        <w:jc w:val="both"/>
      </w:pPr>
      <w:r w:rsidRPr="009930D9">
        <w:t xml:space="preserve">Vynaložil-li pojištěný po pojistné události náklady na konzervaci pojištěné věci (např. prevence proti </w:t>
      </w:r>
      <w:r w:rsidR="00466ED2" w:rsidRPr="009930D9">
        <w:t xml:space="preserve">opětovnému </w:t>
      </w:r>
      <w:r w:rsidRPr="009930D9">
        <w:t>poškození spreji a barvami), budou součástí pojistného plnění i takto vynaložené náklady.</w:t>
      </w:r>
    </w:p>
    <w:p w14:paraId="030A8539" w14:textId="77777777" w:rsidR="00AE145C" w:rsidRPr="009930D9" w:rsidRDefault="00AE145C" w:rsidP="00DC097E">
      <w:pPr>
        <w:jc w:val="both"/>
      </w:pPr>
    </w:p>
    <w:p w14:paraId="45A59853" w14:textId="77777777" w:rsidR="00202D60" w:rsidRPr="009930D9" w:rsidRDefault="00202D60" w:rsidP="00DC097E">
      <w:pPr>
        <w:jc w:val="both"/>
      </w:pPr>
    </w:p>
    <w:p w14:paraId="7CD17FF8" w14:textId="20E2954B" w:rsidR="001D4839" w:rsidRPr="009930D9" w:rsidRDefault="00895245" w:rsidP="001D4839">
      <w:pPr>
        <w:pStyle w:val="Nadpis1"/>
        <w:numPr>
          <w:ilvl w:val="0"/>
          <w:numId w:val="0"/>
        </w:numPr>
        <w:jc w:val="both"/>
      </w:pPr>
      <w:r w:rsidRPr="009930D9">
        <w:t>POJIŠTĚNÍ NÁKLADŮ</w:t>
      </w:r>
    </w:p>
    <w:p w14:paraId="0C273972" w14:textId="77777777" w:rsidR="001D4839" w:rsidRPr="009930D9" w:rsidRDefault="001D4839" w:rsidP="001D4839">
      <w:pPr>
        <w:jc w:val="both"/>
      </w:pPr>
      <w:r w:rsidRPr="009930D9">
        <w:t>Přeprava je prováděna vlastními a cizími, po právu užívanými vozidly (výpůjčka, leasing, náhradní vozidlo apod.) i soukromými vozidly zaměstnanců pojištěného.</w:t>
      </w:r>
    </w:p>
    <w:p w14:paraId="57D370B4" w14:textId="77777777" w:rsidR="001D4839" w:rsidRPr="009930D9" w:rsidRDefault="001D4839" w:rsidP="001D4839">
      <w:pPr>
        <w:spacing w:before="240"/>
        <w:jc w:val="both"/>
      </w:pPr>
      <w:r w:rsidRPr="009930D9">
        <w:t>Pojištění se vztahuje také na nakládku / vykládku / překlady. Pojištění trvá po celou dobu obvyklé</w:t>
      </w:r>
      <w:r w:rsidRPr="009930D9">
        <w:br/>
        <w:t>přepravy i skladování v průběhu dopravy.</w:t>
      </w:r>
    </w:p>
    <w:p w14:paraId="65977C42" w14:textId="77777777" w:rsidR="001D4839" w:rsidRPr="009930D9" w:rsidRDefault="001D4839" w:rsidP="001D4839">
      <w:pPr>
        <w:spacing w:before="240"/>
        <w:jc w:val="both"/>
      </w:pPr>
      <w:r w:rsidRPr="009930D9">
        <w:t>Ujednává se, že za zaměstnance je považována osoba, se kterou má pojištěný v souladu</w:t>
      </w:r>
      <w:r w:rsidRPr="009930D9">
        <w:br/>
        <w:t>s §3 Zákoníku práce uzavřenu Pracovní smlouvu nebo Dohodu o pracovní činnosti nebo Dohodu o provedení práce.</w:t>
      </w:r>
    </w:p>
    <w:p w14:paraId="7F86EC21" w14:textId="77777777" w:rsidR="001D4839" w:rsidRPr="009930D9" w:rsidRDefault="001D4839" w:rsidP="001D4839">
      <w:pPr>
        <w:spacing w:before="240"/>
        <w:jc w:val="both"/>
      </w:pPr>
      <w:r w:rsidRPr="009930D9">
        <w:t>V případě odcizení předmětu pojištění z dopravního prostředku pojistitel poskytne pojistné plnění jen tehdy, pokud se odcizení prokazatelně přihodilo mezi 6.00 - 22.00 hod., dopravní prostředek byl řádně uzavřen a uzamčen a předmět pojištění se nacházel v zavazadlovém prostoru nebo v palubní/přístrojové schránce a nebyl zvenku viditelný.</w:t>
      </w:r>
    </w:p>
    <w:p w14:paraId="761DAD5D" w14:textId="77777777" w:rsidR="001D4839" w:rsidRPr="009930D9" w:rsidRDefault="001D4839" w:rsidP="001D4839">
      <w:pPr>
        <w:spacing w:before="0"/>
        <w:jc w:val="both"/>
      </w:pPr>
      <w:r w:rsidRPr="009930D9">
        <w:t>Pojištění odcizení se vztahuje také na předmět pojištění spojený s dopravním prostředkem.</w:t>
      </w:r>
    </w:p>
    <w:p w14:paraId="6B90C0E5" w14:textId="77777777" w:rsidR="001D4839" w:rsidRPr="009930D9" w:rsidRDefault="001D4839" w:rsidP="001D4839">
      <w:pPr>
        <w:spacing w:before="0"/>
        <w:jc w:val="both"/>
      </w:pPr>
      <w:r w:rsidRPr="009930D9">
        <w:t>Pojistitel poskytne pojistné plnění, jestliže byl předmět pojištění poškozen, zničen, ztracen nebo odcizen při dopravní nehodě.</w:t>
      </w:r>
    </w:p>
    <w:p w14:paraId="2B44F1A0" w14:textId="77777777" w:rsidR="001D4839" w:rsidRPr="009930D9" w:rsidRDefault="001D4839" w:rsidP="001D4839">
      <w:pPr>
        <w:spacing w:before="0"/>
        <w:jc w:val="both"/>
      </w:pPr>
      <w:r w:rsidRPr="009930D9">
        <w:t>Pojištění odcizení se vztahuje i na případy, kdy byl předmět pojištění odcizen s motorovým vozidlem.</w:t>
      </w:r>
    </w:p>
    <w:p w14:paraId="0EF65847" w14:textId="77777777" w:rsidR="001D4839" w:rsidRPr="009930D9" w:rsidRDefault="001D4839" w:rsidP="001D4839">
      <w:pPr>
        <w:spacing w:before="0"/>
        <w:jc w:val="both"/>
      </w:pPr>
      <w:r w:rsidRPr="009930D9">
        <w:t>Časové omezení neplatí, byl-li dopravní prostředek v době vzniku pojistné události odstaven v uzamčeném nebo na oploceném místě nebo na hlídaném parkovišti.</w:t>
      </w:r>
    </w:p>
    <w:p w14:paraId="1BA54468" w14:textId="77777777" w:rsidR="001D4839" w:rsidRPr="00202D60" w:rsidRDefault="001D4839" w:rsidP="001D4839">
      <w:pPr>
        <w:spacing w:before="240"/>
        <w:jc w:val="both"/>
      </w:pPr>
      <w:r w:rsidRPr="009930D9">
        <w:t>Ujednává se, že se pojištění vztahuje také na škody vzniklé na přepravovaných živých zvířatech, včetně uhynutí nebo nutného utracení přepravovaných živých zvířat včetně škod vzniklých v důsledku přepravního stresu, došlo-li k němu v přímé souvislosti s pojistným nebezpečím pojištěným touto pojistnou smlouvou.</w:t>
      </w:r>
    </w:p>
    <w:p w14:paraId="2E3E0E7E" w14:textId="77777777" w:rsidR="001D4839" w:rsidRPr="00202D60" w:rsidRDefault="001D4839" w:rsidP="00DC097E">
      <w:pPr>
        <w:jc w:val="both"/>
      </w:pPr>
    </w:p>
    <w:p w14:paraId="1DBEC0E8" w14:textId="77777777" w:rsidR="001D4839" w:rsidRPr="00202D60" w:rsidRDefault="001D4839" w:rsidP="00DC097E">
      <w:pPr>
        <w:jc w:val="both"/>
      </w:pPr>
    </w:p>
    <w:p w14:paraId="39FB428C" w14:textId="77777777" w:rsidR="001D4839" w:rsidRPr="00202D60" w:rsidRDefault="001D4839" w:rsidP="001D4839">
      <w:pPr>
        <w:pStyle w:val="Nadpis1"/>
        <w:numPr>
          <w:ilvl w:val="0"/>
          <w:numId w:val="0"/>
        </w:numPr>
        <w:jc w:val="both"/>
      </w:pPr>
      <w:r w:rsidRPr="00202D60">
        <w:t>POJIŠTĚNÍ STROJŮ A STROJNÍCH ZAŘÍZENÍ</w:t>
      </w:r>
    </w:p>
    <w:p w14:paraId="7734CC86" w14:textId="77777777" w:rsidR="00567BA0" w:rsidRPr="00202D60" w:rsidRDefault="00567BA0" w:rsidP="00567BA0">
      <w:pPr>
        <w:pStyle w:val="Nadpis3"/>
        <w:numPr>
          <w:ilvl w:val="0"/>
          <w:numId w:val="0"/>
        </w:numPr>
        <w:jc w:val="both"/>
      </w:pPr>
      <w:r w:rsidRPr="00202D60">
        <w:t>Předmět pojištění</w:t>
      </w:r>
    </w:p>
    <w:p w14:paraId="3F971E73" w14:textId="77777777" w:rsidR="00567BA0" w:rsidRPr="00202D60" w:rsidRDefault="00567BA0" w:rsidP="00567BA0">
      <w:pPr>
        <w:jc w:val="both"/>
      </w:pPr>
      <w:r w:rsidRPr="00202D60">
        <w:t>Ujednává se, že se pojištění vztahuje také na ruční nářadí, pily, ruční sekačku na trávu apod.</w:t>
      </w:r>
    </w:p>
    <w:p w14:paraId="2377FFAA" w14:textId="77777777" w:rsidR="00146987" w:rsidRPr="00202D60" w:rsidRDefault="00146987" w:rsidP="00396DE4">
      <w:pPr>
        <w:pStyle w:val="Nadpis3"/>
        <w:numPr>
          <w:ilvl w:val="0"/>
          <w:numId w:val="0"/>
        </w:numPr>
        <w:jc w:val="both"/>
      </w:pPr>
      <w:r w:rsidRPr="00202D60">
        <w:t>Elektronické části strojů</w:t>
      </w:r>
    </w:p>
    <w:p w14:paraId="4D97E716" w14:textId="77777777" w:rsidR="00BE4F5E" w:rsidRPr="00202D60" w:rsidRDefault="004925F4" w:rsidP="00DC097E">
      <w:pPr>
        <w:jc w:val="both"/>
      </w:pPr>
      <w:r w:rsidRPr="00202D60">
        <w:t>Ujednává se, že</w:t>
      </w:r>
      <w:r w:rsidR="00146987" w:rsidRPr="00202D60">
        <w:t xml:space="preserve"> </w:t>
      </w:r>
      <w:r w:rsidR="00466ED2" w:rsidRPr="00202D60">
        <w:t xml:space="preserve">pojištění </w:t>
      </w:r>
      <w:r w:rsidRPr="00202D60">
        <w:t xml:space="preserve">se </w:t>
      </w:r>
      <w:r w:rsidR="00146987" w:rsidRPr="00202D60">
        <w:t>vztahuje také na řídící a jiné elektronické</w:t>
      </w:r>
      <w:r w:rsidR="00F44818" w:rsidRPr="00202D60">
        <w:t xml:space="preserve"> prvky, elektronické součástky </w:t>
      </w:r>
      <w:r w:rsidR="00146987" w:rsidRPr="00202D60">
        <w:t>a</w:t>
      </w:r>
      <w:r w:rsidR="00F44818" w:rsidRPr="00202D60">
        <w:t xml:space="preserve"> další</w:t>
      </w:r>
      <w:r w:rsidR="00146987" w:rsidRPr="00202D60">
        <w:t xml:space="preserve"> součásti pojištěných strojních zařízení. </w:t>
      </w:r>
    </w:p>
    <w:p w14:paraId="57891806" w14:textId="77777777" w:rsidR="00BE4F5E" w:rsidRPr="00202D60" w:rsidRDefault="00BE4F5E" w:rsidP="00396DE4">
      <w:pPr>
        <w:pStyle w:val="Nadpis3"/>
        <w:numPr>
          <w:ilvl w:val="0"/>
          <w:numId w:val="0"/>
        </w:numPr>
        <w:jc w:val="both"/>
      </w:pPr>
      <w:r w:rsidRPr="00202D60">
        <w:lastRenderedPageBreak/>
        <w:t>Stáří strojů</w:t>
      </w:r>
      <w:r w:rsidR="004925F4" w:rsidRPr="00202D60">
        <w:t xml:space="preserve"> a strojních zařízení</w:t>
      </w:r>
    </w:p>
    <w:p w14:paraId="416B80A3" w14:textId="77777777" w:rsidR="007A5D8E" w:rsidRPr="00202D60" w:rsidRDefault="00BE4F5E" w:rsidP="00DC097E">
      <w:pPr>
        <w:jc w:val="both"/>
      </w:pPr>
      <w:r w:rsidRPr="00202D60">
        <w:t xml:space="preserve">Ujednává se, že pojištění se vztahuje na všechny stroje a strojní zařízení bez omezení stáří. Pojistné plnění bude poskytnuto v nových cenách </w:t>
      </w:r>
      <w:r w:rsidR="00BB43AC" w:rsidRPr="00202D60">
        <w:t>bez odpočtu opotřebení</w:t>
      </w:r>
      <w:r w:rsidR="004925F4" w:rsidRPr="00202D60">
        <w:t xml:space="preserve">, </w:t>
      </w:r>
      <w:r w:rsidR="00E32E2A" w:rsidRPr="00202D60">
        <w:t>v</w:t>
      </w:r>
      <w:r w:rsidRPr="00202D60">
        <w:t>yjma st</w:t>
      </w:r>
      <w:r w:rsidR="004925F4" w:rsidRPr="00202D60">
        <w:t>r</w:t>
      </w:r>
      <w:r w:rsidR="001D4839" w:rsidRPr="00202D60">
        <w:t>ojů</w:t>
      </w:r>
      <w:r w:rsidR="001D4839" w:rsidRPr="00202D60">
        <w:br/>
      </w:r>
      <w:r w:rsidRPr="00202D60">
        <w:t xml:space="preserve">a strojních zařízení </w:t>
      </w:r>
      <w:r w:rsidR="00BB43AC" w:rsidRPr="00202D60">
        <w:t xml:space="preserve">starších </w:t>
      </w:r>
      <w:r w:rsidR="00286592" w:rsidRPr="00202D60">
        <w:t>15</w:t>
      </w:r>
      <w:r w:rsidR="00BB43AC" w:rsidRPr="00202D60">
        <w:t>-ti</w:t>
      </w:r>
      <w:r w:rsidRPr="00202D60">
        <w:t xml:space="preserve"> let, u kterých se bude v případě </w:t>
      </w:r>
      <w:r w:rsidR="004925F4" w:rsidRPr="00202D60">
        <w:t xml:space="preserve">parciálních škod </w:t>
      </w:r>
      <w:r w:rsidRPr="00202D60">
        <w:t>plnit v nové ceně a v případě totální</w:t>
      </w:r>
      <w:r w:rsidR="004925F4" w:rsidRPr="00202D60">
        <w:t>ch škod</w:t>
      </w:r>
      <w:r w:rsidRPr="00202D60">
        <w:t xml:space="preserve"> v časové ceně.</w:t>
      </w:r>
    </w:p>
    <w:p w14:paraId="5432BA9D" w14:textId="77777777" w:rsidR="00207881" w:rsidRPr="00202D60" w:rsidRDefault="00207881" w:rsidP="00DC097E">
      <w:pPr>
        <w:pStyle w:val="Nadpis3"/>
        <w:numPr>
          <w:ilvl w:val="0"/>
          <w:numId w:val="0"/>
        </w:numPr>
        <w:jc w:val="both"/>
      </w:pPr>
      <w:r w:rsidRPr="00202D60">
        <w:t xml:space="preserve">Škody způsobené zvířetem, ptactvem a/nebo hmyzem </w:t>
      </w:r>
    </w:p>
    <w:p w14:paraId="392E0B3A" w14:textId="77777777" w:rsidR="00207881" w:rsidRPr="00202D60" w:rsidRDefault="00207881" w:rsidP="00DC097E">
      <w:pPr>
        <w:jc w:val="both"/>
      </w:pPr>
      <w:r w:rsidRPr="00202D60">
        <w:t>Pojištění se vztahuje i na škody způsobené zvířetem, ptactvem a/nebo hmyzem.</w:t>
      </w:r>
    </w:p>
    <w:p w14:paraId="36718304" w14:textId="77777777" w:rsidR="001F5F3A" w:rsidRPr="00202D60" w:rsidRDefault="001F5F3A" w:rsidP="00396DE4">
      <w:pPr>
        <w:pStyle w:val="Nadpis3"/>
        <w:numPr>
          <w:ilvl w:val="0"/>
          <w:numId w:val="0"/>
        </w:numPr>
        <w:jc w:val="both"/>
      </w:pPr>
      <w:r w:rsidRPr="00202D60">
        <w:t>Poškození strojních součástí</w:t>
      </w:r>
    </w:p>
    <w:p w14:paraId="3BBC0D37" w14:textId="77777777" w:rsidR="00A0005E" w:rsidRPr="00202D60" w:rsidRDefault="001F5F3A" w:rsidP="00A0005E">
      <w:pPr>
        <w:jc w:val="both"/>
      </w:pPr>
      <w:r w:rsidRPr="00202D60">
        <w:t xml:space="preserve">Pokud došlo ze stejné příčiny a ve stejnou dobu k jiné pojistné události na předmětu </w:t>
      </w:r>
      <w:r w:rsidR="001D4839" w:rsidRPr="00202D60">
        <w:t>pojištění,</w:t>
      </w:r>
      <w:r w:rsidR="001D4839" w:rsidRPr="00202D60">
        <w:br/>
      </w:r>
      <w:r w:rsidRPr="00202D60">
        <w:t>za kterou je pojistitel povinen plnit, pojistitel poskytne pojistné pl</w:t>
      </w:r>
      <w:r w:rsidR="001D4839" w:rsidRPr="00202D60">
        <w:t>nění za škodné události také</w:t>
      </w:r>
      <w:r w:rsidR="001D4839" w:rsidRPr="00202D60">
        <w:br/>
      </w:r>
      <w:r w:rsidR="00A0005E" w:rsidRPr="00202D60">
        <w:t xml:space="preserve">na </w:t>
      </w:r>
      <w:r w:rsidRPr="00202D60">
        <w:t xml:space="preserve">součástech nebo příslušenství </w:t>
      </w:r>
      <w:r w:rsidR="00A0005E" w:rsidRPr="00202D60">
        <w:t>strojních zařízení</w:t>
      </w:r>
      <w:r w:rsidRPr="00202D60">
        <w:t>, které se vyměňují při změně pracovního úkonu nebo proto, že podléhají rychlému opotřebení (např</w:t>
      </w:r>
      <w:r w:rsidR="001D4839" w:rsidRPr="00202D60">
        <w:t>. formy, matrice, razidla, ryté</w:t>
      </w:r>
      <w:r w:rsidR="001D4839" w:rsidRPr="00202D60">
        <w:br/>
      </w:r>
      <w:r w:rsidRPr="00202D60">
        <w:t>a vzorkované válce, řezné nástroje),</w:t>
      </w:r>
      <w:r w:rsidR="00A0005E" w:rsidRPr="00202D60">
        <w:t xml:space="preserve"> dále hadice, těsnění, pásy, pneumatiky, řemeny, lamely, lana, řetězy, žáruvzdorné vyzdívky a obložení, trysky hořáky, d</w:t>
      </w:r>
      <w:r w:rsidR="001D4839" w:rsidRPr="00202D60">
        <w:t>rticí nástroje drticích strojů,</w:t>
      </w:r>
      <w:r w:rsidR="001D4839" w:rsidRPr="00202D60">
        <w:br/>
      </w:r>
      <w:r w:rsidR="00A0005E" w:rsidRPr="00202D60">
        <w:t>na činných médiích a provozních kapalinách (např. paliva, maziva, chemikálie, filtrační hmoty, chladicí kapaliny, katalyzátory), na skleněných součástech strojních zařízení, akumulátorových bateriích a elektrochemických článcích, snímacích a záznamových prvcích a nosičích záznamu.</w:t>
      </w:r>
    </w:p>
    <w:p w14:paraId="3853CBE0" w14:textId="77777777" w:rsidR="00F44818" w:rsidRPr="00202D60" w:rsidRDefault="00F44818" w:rsidP="00F44818">
      <w:pPr>
        <w:pStyle w:val="Nadpis3"/>
        <w:numPr>
          <w:ilvl w:val="0"/>
          <w:numId w:val="0"/>
        </w:numPr>
        <w:jc w:val="both"/>
      </w:pPr>
      <w:r w:rsidRPr="00202D60">
        <w:t>Poškození vyměnitelných součástí</w:t>
      </w:r>
    </w:p>
    <w:p w14:paraId="01C12280" w14:textId="77777777" w:rsidR="00F44818" w:rsidRPr="00202D60" w:rsidRDefault="00F44818" w:rsidP="00F44818">
      <w:pPr>
        <w:jc w:val="both"/>
      </w:pPr>
      <w:r w:rsidRPr="00202D60">
        <w:t xml:space="preserve">Pojištění se vztahuje na veškeré stroje vlastní i cizí včetně vyměnitelných součástí, např. ložiska, pásy, řetězy, apod. (stacionární i mobilní stroje). </w:t>
      </w:r>
    </w:p>
    <w:p w14:paraId="69553EF8" w14:textId="77777777" w:rsidR="00286592" w:rsidRPr="00202D60" w:rsidRDefault="00286592" w:rsidP="00286592">
      <w:pPr>
        <w:pStyle w:val="Nadpis3"/>
        <w:numPr>
          <w:ilvl w:val="0"/>
          <w:numId w:val="0"/>
        </w:numPr>
        <w:jc w:val="both"/>
      </w:pPr>
      <w:r w:rsidRPr="00202D60">
        <w:t xml:space="preserve">Výplata pojistného plnění při opotřebení </w:t>
      </w:r>
      <w:r w:rsidR="00CD745C" w:rsidRPr="00202D60">
        <w:t>(Stroje</w:t>
      </w:r>
      <w:r w:rsidRPr="00202D60">
        <w:t xml:space="preserve"> II</w:t>
      </w:r>
      <w:r w:rsidR="00CD745C" w:rsidRPr="00202D60">
        <w:t>)</w:t>
      </w:r>
    </w:p>
    <w:p w14:paraId="065DB253" w14:textId="77777777" w:rsidR="00286592" w:rsidRPr="00202D60" w:rsidRDefault="00286592" w:rsidP="00286592">
      <w:pPr>
        <w:jc w:val="both"/>
      </w:pPr>
      <w:r w:rsidRPr="00202D60">
        <w:t>Pokud je součástí opravy vyžadováno také převinutí nebo výměna agregátu, pojistitel neodečte</w:t>
      </w:r>
      <w:r w:rsidRPr="00202D60">
        <w:br/>
        <w:t>při stanovení výše pojistného plnění částku odpovídající opotřebení vinutí nebo vyměněného agregátu.</w:t>
      </w:r>
    </w:p>
    <w:p w14:paraId="538ED8CB" w14:textId="77777777" w:rsidR="00286592" w:rsidRPr="00202D60" w:rsidRDefault="00286592" w:rsidP="00286592">
      <w:pPr>
        <w:jc w:val="both"/>
        <w:rPr>
          <w:sz w:val="20"/>
        </w:rPr>
      </w:pPr>
      <w:r w:rsidRPr="00202D60">
        <w:t>Pokud je součástí opravy vyžadována také oprava nebo výměna bloků nebo hlav motorů nebo</w:t>
      </w:r>
      <w:r w:rsidRPr="00202D60">
        <w:br/>
        <w:t>kompresorů, včetně příslušenství a pístů nebo vstřikovačů, pojistitel neodečte při stanovení výše</w:t>
      </w:r>
      <w:r w:rsidRPr="00202D60">
        <w:br/>
        <w:t>pojistného plnění částku odpovídající opotřebení uvedených částí</w:t>
      </w:r>
      <w:r w:rsidRPr="00202D60">
        <w:rPr>
          <w:sz w:val="20"/>
        </w:rPr>
        <w:t>.</w:t>
      </w:r>
    </w:p>
    <w:p w14:paraId="08A4CFAF" w14:textId="77777777" w:rsidR="004E3C31" w:rsidRPr="00202D60" w:rsidRDefault="004E3C31" w:rsidP="004E3C31">
      <w:pPr>
        <w:pStyle w:val="Nadpis3"/>
        <w:numPr>
          <w:ilvl w:val="0"/>
          <w:numId w:val="0"/>
        </w:numPr>
        <w:jc w:val="both"/>
      </w:pPr>
      <w:r w:rsidRPr="00202D60">
        <w:t>Náklady na znovupořízení vzorků, chemických látek, výsledků výzkumu apod.</w:t>
      </w:r>
    </w:p>
    <w:p w14:paraId="35C033FB" w14:textId="77777777" w:rsidR="004E3C31" w:rsidRPr="00202D60" w:rsidRDefault="004E3C31" w:rsidP="004E3C31">
      <w:pPr>
        <w:jc w:val="both"/>
      </w:pPr>
      <w:r w:rsidRPr="00202D60">
        <w:t>Pojištění se vztahuje také na náklady na znovupořízení vzorků, chemických látek, výsledků výzkumu apod., které budou zničeny či znehodnoceny jako následek škody z pojištěného nebezpečí na pojištěném předmětu pojištění.</w:t>
      </w:r>
    </w:p>
    <w:p w14:paraId="2A1FB7E4" w14:textId="77777777" w:rsidR="00F44818" w:rsidRPr="00202D60" w:rsidRDefault="00F44818" w:rsidP="00F44818"/>
    <w:p w14:paraId="1DDE7EFF" w14:textId="77777777" w:rsidR="001D4839" w:rsidRPr="00202D60" w:rsidRDefault="001D4839" w:rsidP="001D4839">
      <w:pPr>
        <w:pStyle w:val="Nadpis1"/>
        <w:numPr>
          <w:ilvl w:val="0"/>
          <w:numId w:val="0"/>
        </w:numPr>
        <w:jc w:val="both"/>
      </w:pPr>
      <w:r w:rsidRPr="00202D60">
        <w:t>POJIŠTĚNÍ ELEKTRONIKY A ELEKTRONICKÝCH ZAŘÍZENÍ</w:t>
      </w:r>
    </w:p>
    <w:p w14:paraId="7BBAB5F4" w14:textId="77777777" w:rsidR="00567BA0" w:rsidRPr="00202D60" w:rsidRDefault="00567BA0" w:rsidP="00567BA0">
      <w:pPr>
        <w:pStyle w:val="Nadpis3"/>
        <w:numPr>
          <w:ilvl w:val="0"/>
          <w:numId w:val="0"/>
        </w:numPr>
        <w:jc w:val="both"/>
      </w:pPr>
      <w:r w:rsidRPr="00202D60">
        <w:t>Předmět pojištění</w:t>
      </w:r>
    </w:p>
    <w:p w14:paraId="44E3501F" w14:textId="77777777" w:rsidR="00567BA0" w:rsidRPr="00202D60" w:rsidRDefault="00567BA0" w:rsidP="00567BA0">
      <w:pPr>
        <w:jc w:val="both"/>
      </w:pPr>
      <w:r w:rsidRPr="00202D60">
        <w:t>Ujednává se, že se pojištění vztahuje také na fotoaparáty, kamery, navigační systémy (GPS),</w:t>
      </w:r>
      <w:r w:rsidRPr="00202D60">
        <w:br/>
        <w:t>na mobilní komunikační zařízení, na elektroniku pevně spojenou s vozidlem apod.</w:t>
      </w:r>
    </w:p>
    <w:p w14:paraId="5F85801D" w14:textId="77777777" w:rsidR="00567BA0" w:rsidRPr="00202D60" w:rsidRDefault="00567BA0" w:rsidP="00567BA0">
      <w:pPr>
        <w:pStyle w:val="Nadpis3"/>
        <w:numPr>
          <w:ilvl w:val="0"/>
          <w:numId w:val="0"/>
        </w:numPr>
        <w:jc w:val="both"/>
      </w:pPr>
      <w:r w:rsidRPr="00202D60">
        <w:t>Náklady na znovupořízení vzorků, chemických látek, výsledků výzkumu apod.</w:t>
      </w:r>
    </w:p>
    <w:p w14:paraId="1F90C3FC" w14:textId="32F04556" w:rsidR="00567BA0" w:rsidRDefault="00567BA0" w:rsidP="00567BA0">
      <w:pPr>
        <w:jc w:val="both"/>
      </w:pPr>
      <w:r w:rsidRPr="00202D60">
        <w:t>Pojištění se vztahuje také na náklady na znovupořízení vzorků, chemických látek, výsledků výzkumu apod., které budou zničeny či znehodnoceny jako následek škody z pojištěného nebezpečí na pojištěném předmětu pojištění.</w:t>
      </w:r>
    </w:p>
    <w:p w14:paraId="0FBB6029" w14:textId="77777777" w:rsidR="003A554E" w:rsidRPr="00202D60" w:rsidRDefault="003A554E" w:rsidP="00396DE4">
      <w:pPr>
        <w:pStyle w:val="Nadpis3"/>
        <w:numPr>
          <w:ilvl w:val="0"/>
          <w:numId w:val="0"/>
        </w:numPr>
        <w:jc w:val="both"/>
      </w:pPr>
      <w:r w:rsidRPr="00202D60">
        <w:lastRenderedPageBreak/>
        <w:t>Stáří elektroniky</w:t>
      </w:r>
    </w:p>
    <w:p w14:paraId="2264AE8F" w14:textId="77777777" w:rsidR="003A554E" w:rsidRPr="00202D60" w:rsidRDefault="003A554E" w:rsidP="00DC097E">
      <w:pPr>
        <w:jc w:val="both"/>
      </w:pPr>
      <w:r w:rsidRPr="00202D60">
        <w:t>Ujednává se, že pojištění se vztahuje na všechny zařízení bez omezení stáří. Pojistné plnění bude poskytnuto v nových cenách bez odpočtu opotřebení</w:t>
      </w:r>
      <w:r w:rsidR="00207881" w:rsidRPr="00202D60">
        <w:t xml:space="preserve">, </w:t>
      </w:r>
      <w:r w:rsidRPr="00202D60">
        <w:t xml:space="preserve">vyjma </w:t>
      </w:r>
      <w:r w:rsidR="0047767B" w:rsidRPr="00202D60">
        <w:t>zařízení</w:t>
      </w:r>
      <w:r w:rsidR="00567BA0" w:rsidRPr="00202D60">
        <w:t xml:space="preserve"> starších 10-ti let,</w:t>
      </w:r>
      <w:r w:rsidR="00567BA0" w:rsidRPr="00202D60">
        <w:br/>
      </w:r>
      <w:r w:rsidRPr="00202D60">
        <w:t xml:space="preserve">u kterých se bude v případě parciálních škod plnit v nové ceně a v případě totálních škod v časové ceně. </w:t>
      </w:r>
    </w:p>
    <w:p w14:paraId="0B895721" w14:textId="77777777" w:rsidR="00D2399D" w:rsidRPr="00202D60" w:rsidRDefault="00D2399D" w:rsidP="00396DE4">
      <w:pPr>
        <w:pStyle w:val="Nadpis3"/>
        <w:numPr>
          <w:ilvl w:val="0"/>
          <w:numId w:val="0"/>
        </w:numPr>
        <w:jc w:val="both"/>
      </w:pPr>
      <w:r w:rsidRPr="00202D60">
        <w:t>Škody způsobené zvířetem</w:t>
      </w:r>
      <w:r w:rsidR="00207881" w:rsidRPr="00202D60">
        <w:t>, ptactvem</w:t>
      </w:r>
      <w:r w:rsidRPr="00202D60">
        <w:t xml:space="preserve"> a/nebo hmyzem </w:t>
      </w:r>
    </w:p>
    <w:p w14:paraId="2EE042CA" w14:textId="77777777" w:rsidR="00D2399D" w:rsidRPr="00202D60" w:rsidRDefault="00AC670A" w:rsidP="00DC097E">
      <w:pPr>
        <w:jc w:val="both"/>
      </w:pPr>
      <w:r w:rsidRPr="00202D60">
        <w:t xml:space="preserve">Pojištění se vztahuje i na škody způsobené </w:t>
      </w:r>
      <w:r w:rsidR="00D2399D" w:rsidRPr="00202D60">
        <w:t>zvířetem</w:t>
      </w:r>
      <w:r w:rsidR="00207881" w:rsidRPr="00202D60">
        <w:t>, ptactvem</w:t>
      </w:r>
      <w:r w:rsidR="00D2399D" w:rsidRPr="00202D60">
        <w:t xml:space="preserve"> a/nebo hmyzem.</w:t>
      </w:r>
    </w:p>
    <w:p w14:paraId="6C6F02E4" w14:textId="77777777" w:rsidR="00D2399D" w:rsidRPr="00202D60" w:rsidRDefault="00D2399D" w:rsidP="00396DE4">
      <w:pPr>
        <w:pStyle w:val="Nadpis3"/>
        <w:numPr>
          <w:ilvl w:val="0"/>
          <w:numId w:val="0"/>
        </w:numPr>
        <w:jc w:val="both"/>
      </w:pPr>
      <w:r w:rsidRPr="00202D60">
        <w:t>Pojištění software</w:t>
      </w:r>
    </w:p>
    <w:p w14:paraId="79CED7EA" w14:textId="77777777" w:rsidR="00924D8A" w:rsidRPr="00202D60" w:rsidRDefault="003325E8" w:rsidP="00DC097E">
      <w:pPr>
        <w:jc w:val="both"/>
      </w:pPr>
      <w:r w:rsidRPr="00202D60">
        <w:t xml:space="preserve">Pojištění se vztahuje také na programové vybavení pojištěné věci (software), jestliže došlo k jeho </w:t>
      </w:r>
      <w:r w:rsidR="00D2399D" w:rsidRPr="00202D60">
        <w:t xml:space="preserve">poškození nebo </w:t>
      </w:r>
      <w:r w:rsidRPr="00202D60">
        <w:t>zničení v souvislosti s poškozením nebo zničením pojištěného majetku.</w:t>
      </w:r>
    </w:p>
    <w:p w14:paraId="0F3E2C37" w14:textId="77777777" w:rsidR="0015700C" w:rsidRPr="00202D60" w:rsidRDefault="0003529C" w:rsidP="00396DE4">
      <w:pPr>
        <w:pStyle w:val="Nadpis3"/>
        <w:numPr>
          <w:ilvl w:val="0"/>
          <w:numId w:val="0"/>
        </w:numPr>
        <w:jc w:val="both"/>
      </w:pPr>
      <w:r w:rsidRPr="00202D60">
        <w:t>Pojištění elektroniky</w:t>
      </w:r>
      <w:r w:rsidR="00207881" w:rsidRPr="00202D60">
        <w:t xml:space="preserve"> při transportu</w:t>
      </w:r>
    </w:p>
    <w:p w14:paraId="5F32E55D" w14:textId="77777777" w:rsidR="009A57F1" w:rsidRPr="00202D60" w:rsidRDefault="00207881" w:rsidP="00DC097E">
      <w:pPr>
        <w:jc w:val="both"/>
      </w:pPr>
      <w:r w:rsidRPr="00202D60">
        <w:t>Pojištění</w:t>
      </w:r>
      <w:r w:rsidR="009A57F1" w:rsidRPr="00202D60">
        <w:t xml:space="preserve"> elektroniky</w:t>
      </w:r>
      <w:r w:rsidRPr="00202D60">
        <w:t xml:space="preserve"> se vztahuje </w:t>
      </w:r>
      <w:r w:rsidR="00267133" w:rsidRPr="00202D60">
        <w:t>i n</w:t>
      </w:r>
      <w:r w:rsidR="004D5549" w:rsidRPr="00202D60">
        <w:t>a škody způsobené při transportu</w:t>
      </w:r>
      <w:r w:rsidR="00267133" w:rsidRPr="00202D60">
        <w:t xml:space="preserve">. </w:t>
      </w:r>
    </w:p>
    <w:p w14:paraId="3E960125" w14:textId="77777777" w:rsidR="00286592" w:rsidRPr="00202D60" w:rsidRDefault="00286592" w:rsidP="00286592">
      <w:pPr>
        <w:pStyle w:val="Nadpis3"/>
        <w:numPr>
          <w:ilvl w:val="0"/>
          <w:numId w:val="0"/>
        </w:numPr>
        <w:jc w:val="both"/>
      </w:pPr>
      <w:r w:rsidRPr="00202D60">
        <w:t>Výpadek, přerušení médií</w:t>
      </w:r>
    </w:p>
    <w:p w14:paraId="1BB6B28C" w14:textId="77777777" w:rsidR="00286592" w:rsidRDefault="00286592" w:rsidP="00DC097E">
      <w:pPr>
        <w:jc w:val="both"/>
      </w:pPr>
      <w:r w:rsidRPr="00202D60">
        <w:t>Pojištění se vztahuje také na hmotné škody způsobené výpadkem nebo přerušení dodávky plynu, vody, elektrické energie nebo jiného média (zejm. způsobené přerušením nebo zastavením provozu stroje, ať již částečného nebo úplného).</w:t>
      </w:r>
    </w:p>
    <w:sectPr w:rsidR="00286592" w:rsidSect="00474105">
      <w:headerReference w:type="default" r:id="rId14"/>
      <w:type w:val="continuous"/>
      <w:pgSz w:w="11906" w:h="16838" w:code="9"/>
      <w:pgMar w:top="1664" w:right="1111" w:bottom="1276" w:left="1259" w:header="1134" w:footer="714"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5457C6C" w16cid:durableId="259D111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D932D" w14:textId="77777777" w:rsidR="004B4577" w:rsidRDefault="004B4577">
      <w:r>
        <w:separator/>
      </w:r>
    </w:p>
  </w:endnote>
  <w:endnote w:type="continuationSeparator" w:id="0">
    <w:p w14:paraId="4EAEA548" w14:textId="77777777" w:rsidR="004B4577" w:rsidRDefault="004B4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0E7F0" w14:textId="77777777" w:rsidR="004B4577" w:rsidRDefault="004B45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6B734" w14:textId="77777777" w:rsidR="004B4577" w:rsidRDefault="004B4577">
    <w:pPr>
      <w:pStyle w:val="AddresseeInfo"/>
    </w:pPr>
    <w:bookmarkStart w:id="0" w:name="CompanyName"/>
    <w:r>
      <w:t>Marsh</w:t>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88"/>
      <w:gridCol w:w="360"/>
      <w:gridCol w:w="3240"/>
    </w:tblGrid>
    <w:tr w:rsidR="004B4577" w14:paraId="22D93CD4" w14:textId="77777777" w:rsidTr="00C807E8">
      <w:trPr>
        <w:trHeight w:val="567"/>
      </w:trPr>
      <w:tc>
        <w:tcPr>
          <w:tcW w:w="5788" w:type="dxa"/>
          <w:tcBorders>
            <w:top w:val="nil"/>
            <w:left w:val="nil"/>
            <w:bottom w:val="nil"/>
            <w:right w:val="nil"/>
          </w:tcBorders>
          <w:tcMar>
            <w:left w:w="28" w:type="dxa"/>
            <w:bottom w:w="28" w:type="dxa"/>
          </w:tcMar>
          <w:vAlign w:val="bottom"/>
        </w:tcPr>
        <w:p w14:paraId="303E52CE" w14:textId="77777777" w:rsidR="004B4577" w:rsidRDefault="004B4577">
          <w:pPr>
            <w:pStyle w:val="Legalcopy"/>
            <w:rPr>
              <w:rStyle w:val="TextHide"/>
            </w:rPr>
          </w:pPr>
          <w:bookmarkStart w:id="2" w:name="LegalText"/>
          <w:bookmarkEnd w:id="2"/>
        </w:p>
      </w:tc>
      <w:tc>
        <w:tcPr>
          <w:tcW w:w="360" w:type="dxa"/>
          <w:tcBorders>
            <w:top w:val="nil"/>
            <w:left w:val="nil"/>
            <w:bottom w:val="nil"/>
            <w:right w:val="nil"/>
          </w:tcBorders>
        </w:tcPr>
        <w:p w14:paraId="61FB79AF" w14:textId="77777777" w:rsidR="004B4577" w:rsidRDefault="004B4577">
          <w:pPr>
            <w:pStyle w:val="TableLogoText"/>
            <w:rPr>
              <w:rStyle w:val="TextHide"/>
            </w:rPr>
          </w:pPr>
        </w:p>
      </w:tc>
      <w:tc>
        <w:tcPr>
          <w:tcW w:w="3240" w:type="dxa"/>
          <w:vMerge w:val="restart"/>
          <w:tcBorders>
            <w:top w:val="nil"/>
            <w:left w:val="nil"/>
            <w:right w:val="nil"/>
          </w:tcBorders>
          <w:vAlign w:val="bottom"/>
        </w:tcPr>
        <w:p w14:paraId="0778080B" w14:textId="77777777" w:rsidR="004B4577" w:rsidRDefault="004B4577">
          <w:pPr>
            <w:pStyle w:val="TableLogoText"/>
            <w:rPr>
              <w:rStyle w:val="TextHide"/>
            </w:rPr>
          </w:pPr>
          <w:bookmarkStart w:id="3" w:name="Endorsement"/>
          <w:r>
            <w:rPr>
              <w:noProof/>
              <w:lang w:eastAsia="cs-CZ"/>
            </w:rPr>
            <w:drawing>
              <wp:inline distT="0" distB="0" distL="0" distR="0" wp14:anchorId="1E6F4D73" wp14:editId="2EFAFD89">
                <wp:extent cx="1565910" cy="245745"/>
                <wp:effectExtent l="0" t="0" r="0" b="1905"/>
                <wp:docPr id="2" name="obrázek 1" descr="MMC_WEND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C_WEND_Bl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5910" cy="245745"/>
                        </a:xfrm>
                        <a:prstGeom prst="rect">
                          <a:avLst/>
                        </a:prstGeom>
                        <a:noFill/>
                        <a:ln>
                          <a:noFill/>
                        </a:ln>
                      </pic:spPr>
                    </pic:pic>
                  </a:graphicData>
                </a:graphic>
              </wp:inline>
            </w:drawing>
          </w:r>
          <w:r>
            <w:rPr>
              <w:rStyle w:val="TextHide"/>
            </w:rPr>
            <w:t xml:space="preserve"> </w:t>
          </w:r>
          <w:bookmarkEnd w:id="3"/>
        </w:p>
      </w:tc>
    </w:tr>
    <w:tr w:rsidR="004B4577" w14:paraId="25B65F9C" w14:textId="77777777" w:rsidTr="00C807E8">
      <w:trPr>
        <w:trHeight w:hRule="exact" w:val="340"/>
      </w:trPr>
      <w:tc>
        <w:tcPr>
          <w:tcW w:w="5788" w:type="dxa"/>
          <w:tcBorders>
            <w:top w:val="nil"/>
            <w:left w:val="nil"/>
            <w:bottom w:val="nil"/>
            <w:right w:val="nil"/>
          </w:tcBorders>
          <w:vAlign w:val="bottom"/>
        </w:tcPr>
        <w:p w14:paraId="02FF58A7" w14:textId="77777777" w:rsidR="004B4577" w:rsidRDefault="004B4577">
          <w:pPr>
            <w:pStyle w:val="Legalcopy"/>
            <w:rPr>
              <w:rStyle w:val="TextHide"/>
            </w:rPr>
          </w:pPr>
          <w:bookmarkStart w:id="4" w:name="PillarLogo"/>
          <w:r>
            <w:rPr>
              <w:noProof/>
              <w:lang w:eastAsia="cs-CZ"/>
            </w:rPr>
            <w:drawing>
              <wp:inline distT="0" distB="0" distL="0" distR="0" wp14:anchorId="6DDD328E" wp14:editId="59E95DDB">
                <wp:extent cx="2651760" cy="125730"/>
                <wp:effectExtent l="0" t="0" r="0" b="7620"/>
                <wp:docPr id="4" name="obrázek 2" descr="MAR_WTAG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_WTAG_Bl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1760" cy="125730"/>
                        </a:xfrm>
                        <a:prstGeom prst="rect">
                          <a:avLst/>
                        </a:prstGeom>
                        <a:noFill/>
                        <a:ln>
                          <a:noFill/>
                        </a:ln>
                      </pic:spPr>
                    </pic:pic>
                  </a:graphicData>
                </a:graphic>
              </wp:inline>
            </w:drawing>
          </w:r>
          <w:r>
            <w:rPr>
              <w:rStyle w:val="TextHide"/>
            </w:rPr>
            <w:t xml:space="preserve">   </w:t>
          </w:r>
          <w:bookmarkEnd w:id="4"/>
        </w:p>
      </w:tc>
      <w:tc>
        <w:tcPr>
          <w:tcW w:w="360" w:type="dxa"/>
          <w:tcBorders>
            <w:top w:val="nil"/>
            <w:left w:val="nil"/>
            <w:bottom w:val="nil"/>
            <w:right w:val="nil"/>
          </w:tcBorders>
        </w:tcPr>
        <w:p w14:paraId="18F8A4A9" w14:textId="77777777" w:rsidR="004B4577" w:rsidRDefault="004B4577">
          <w:pPr>
            <w:pStyle w:val="TableLogoText"/>
            <w:rPr>
              <w:rStyle w:val="TextHide"/>
            </w:rPr>
          </w:pPr>
        </w:p>
      </w:tc>
      <w:tc>
        <w:tcPr>
          <w:tcW w:w="3240" w:type="dxa"/>
          <w:vMerge/>
          <w:tcBorders>
            <w:left w:val="nil"/>
            <w:bottom w:val="nil"/>
            <w:right w:val="nil"/>
          </w:tcBorders>
          <w:vAlign w:val="bottom"/>
        </w:tcPr>
        <w:p w14:paraId="15D19E66" w14:textId="77777777" w:rsidR="004B4577" w:rsidRDefault="004B4577">
          <w:pPr>
            <w:pStyle w:val="TableLogoText"/>
            <w:rPr>
              <w:rStyle w:val="TextHide"/>
            </w:rPr>
          </w:pPr>
        </w:p>
      </w:tc>
    </w:tr>
  </w:tbl>
  <w:p w14:paraId="607EB21F" w14:textId="77777777" w:rsidR="004B4577" w:rsidRDefault="004B4577">
    <w:pPr>
      <w:rPr>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D8F20" w14:textId="77777777" w:rsidR="004B4577" w:rsidRDefault="004B4577">
      <w:r>
        <w:separator/>
      </w:r>
    </w:p>
  </w:footnote>
  <w:footnote w:type="continuationSeparator" w:id="0">
    <w:p w14:paraId="13E585C2" w14:textId="77777777" w:rsidR="004B4577" w:rsidRDefault="004B4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F6F06" w14:textId="77777777" w:rsidR="004B4577" w:rsidRDefault="004B45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4C852" w14:textId="77777777" w:rsidR="004B4577" w:rsidRDefault="004B4577">
    <w:pPr>
      <w:pStyle w:val="LogoHide"/>
    </w:pPr>
  </w:p>
  <w:p w14:paraId="5CA5E122" w14:textId="77777777" w:rsidR="004B4577" w:rsidRDefault="004B4577">
    <w:pPr>
      <w:spacing w:before="280"/>
    </w:pPr>
    <w:proofErr w:type="spellStart"/>
    <w:r>
      <w:t>Page</w:t>
    </w:r>
    <w:proofErr w:type="spellEnd"/>
    <w:r>
      <w:t xml:space="preserve"> </w:t>
    </w:r>
    <w:r>
      <w:fldChar w:fldCharType="begin"/>
    </w:r>
    <w:r>
      <w:instrText xml:space="preserve"> PAGE </w:instrText>
    </w:r>
    <w:r>
      <w:fldChar w:fldCharType="separate"/>
    </w:r>
    <w:r>
      <w:t>2</w:t>
    </w:r>
    <w:r>
      <w:fldChar w:fldCharType="end"/>
    </w:r>
  </w:p>
  <w:p w14:paraId="62BAAC0B" w14:textId="77777777" w:rsidR="004B4577" w:rsidRDefault="004B4577"/>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36D8B" w14:textId="77777777" w:rsidR="004B4577" w:rsidRDefault="004B4577">
    <w:pPr>
      <w:pStyle w:val="LogoHide"/>
    </w:pPr>
    <w:bookmarkStart w:id="1" w:name="Logo"/>
    <w:r>
      <w:t xml:space="preserve">   </w:t>
    </w:r>
    <w:bookmarkEnd w:id="1"/>
  </w:p>
  <w:p w14:paraId="303E4CA8" w14:textId="77777777" w:rsidR="004B4577" w:rsidRDefault="004B4577">
    <w:pPr>
      <w:spacing w:line="40" w:lineRule="exact"/>
      <w:rPr>
        <w:sz w:val="1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F305A" w14:textId="77777777" w:rsidR="004B4577" w:rsidRDefault="004B4577">
    <w:pPr>
      <w:pStyle w:val="LogoHide"/>
    </w:pPr>
  </w:p>
  <w:p w14:paraId="1E5EA86A" w14:textId="77777777" w:rsidR="004B4577" w:rsidRPr="0008621C" w:rsidRDefault="004B4577">
    <w:pPr>
      <w:spacing w:line="240" w:lineRule="exact"/>
      <w:rPr>
        <w:sz w:val="20"/>
      </w:rPr>
    </w:pPr>
    <w:r>
      <w:rPr>
        <w:sz w:val="20"/>
      </w:rPr>
      <w:t>Smluvní ujednání MARSH</w:t>
    </w:r>
    <w:r w:rsidRPr="0008621C">
      <w:rPr>
        <w:sz w:val="20"/>
      </w:rPr>
      <w:t xml:space="preserve"> </w:t>
    </w:r>
  </w:p>
  <w:p w14:paraId="306FBB6F" w14:textId="4B29992B" w:rsidR="004B4577" w:rsidRDefault="004B4577">
    <w:pPr>
      <w:spacing w:line="240" w:lineRule="exact"/>
      <w:rPr>
        <w:sz w:val="20"/>
      </w:rPr>
    </w:pPr>
    <w:r>
      <w:rPr>
        <w:sz w:val="20"/>
      </w:rPr>
      <w:t xml:space="preserve">Strana </w:t>
    </w:r>
    <w:r>
      <w:rPr>
        <w:sz w:val="20"/>
      </w:rPr>
      <w:fldChar w:fldCharType="begin"/>
    </w:r>
    <w:r>
      <w:rPr>
        <w:sz w:val="20"/>
      </w:rPr>
      <w:instrText xml:space="preserve"> PAGE </w:instrText>
    </w:r>
    <w:r>
      <w:rPr>
        <w:sz w:val="20"/>
      </w:rPr>
      <w:fldChar w:fldCharType="separate"/>
    </w:r>
    <w:r w:rsidR="00F84F9D">
      <w:rPr>
        <w:noProof/>
        <w:sz w:val="20"/>
      </w:rPr>
      <w:t>2</w:t>
    </w:r>
    <w:r>
      <w:rPr>
        <w:sz w:val="20"/>
      </w:rPr>
      <w:fldChar w:fldCharType="end"/>
    </w:r>
  </w:p>
  <w:p w14:paraId="49764B65" w14:textId="77777777" w:rsidR="004B4577" w:rsidRDefault="004B45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8545B"/>
    <w:multiLevelType w:val="multilevel"/>
    <w:tmpl w:val="2FE28142"/>
    <w:name w:val="Appendix"/>
    <w:lvl w:ilvl="0">
      <w:start w:val="1"/>
      <w:numFmt w:val="upperLetter"/>
      <w:lvlRestart w:val="0"/>
      <w:lvlText w:val="Appendix: %1."/>
      <w:lvlJc w:val="left"/>
      <w:pPr>
        <w:tabs>
          <w:tab w:val="num" w:pos="360"/>
        </w:tabs>
        <w:ind w:left="360" w:hanging="360"/>
      </w:pPr>
      <w:rPr>
        <w:rFonts w:ascii="Arial" w:hAnsi="Arial" w:cs="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160424A"/>
    <w:multiLevelType w:val="multilevel"/>
    <w:tmpl w:val="BEC2ACBA"/>
    <w:name w:val="HeadingNumberDo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pStyle w:val="HeadingNumber1"/>
      <w:lvlText w:val="%5."/>
      <w:lvlJc w:val="left"/>
      <w:pPr>
        <w:tabs>
          <w:tab w:val="num" w:pos="720"/>
        </w:tabs>
        <w:ind w:left="720" w:hanging="720"/>
      </w:pPr>
    </w:lvl>
    <w:lvl w:ilvl="5">
      <w:start w:val="1"/>
      <w:numFmt w:val="decimal"/>
      <w:pStyle w:val="HeadingNumber2"/>
      <w:lvlText w:val="%5.%6."/>
      <w:lvlJc w:val="left"/>
      <w:pPr>
        <w:tabs>
          <w:tab w:val="num" w:pos="840"/>
        </w:tabs>
        <w:ind w:left="840" w:hanging="840"/>
      </w:pPr>
    </w:lvl>
    <w:lvl w:ilvl="6">
      <w:start w:val="1"/>
      <w:numFmt w:val="decimal"/>
      <w:pStyle w:val="HeadingNumber3"/>
      <w:lvlText w:val="%5.%6.%7."/>
      <w:lvlJc w:val="left"/>
      <w:pPr>
        <w:tabs>
          <w:tab w:val="num" w:pos="1080"/>
        </w:tabs>
        <w:ind w:left="1080" w:hanging="1080"/>
      </w:pPr>
    </w:lvl>
    <w:lvl w:ilvl="7">
      <w:start w:val="1"/>
      <w:numFmt w:val="decimal"/>
      <w:pStyle w:val="HeadingNumber4"/>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2" w15:restartNumberingAfterBreak="0">
    <w:nsid w:val="11800513"/>
    <w:multiLevelType w:val="multilevel"/>
    <w:tmpl w:val="01B4A620"/>
    <w:name w:val="SApp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upperLetter"/>
      <w:lvlText w:val="Appendix: %5."/>
      <w:lvlJc w:val="left"/>
      <w:pPr>
        <w:tabs>
          <w:tab w:val="num" w:pos="0"/>
        </w:tabs>
        <w:ind w:left="0" w:firstLine="0"/>
      </w:p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3" w15:restartNumberingAfterBreak="0">
    <w:nsid w:val="183569CA"/>
    <w:multiLevelType w:val="multilevel"/>
    <w:tmpl w:val="315C1454"/>
    <w:name w:val="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0"/>
        </w:tabs>
        <w:ind w:left="0" w:firstLine="0"/>
      </w:pPr>
      <w:rPr>
        <w:b w:val="0"/>
        <w:i w:val="0"/>
        <w:caps w:val="0"/>
        <w:smallCaps w:val="0"/>
        <w:vanish/>
        <w:u w:val="none"/>
      </w:r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4" w15:restartNumberingAfterBreak="0">
    <w:nsid w:val="19C54936"/>
    <w:multiLevelType w:val="multilevel"/>
    <w:tmpl w:val="C88C1EAE"/>
    <w:name w:val="TableBulletLis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pStyle w:val="TableBullet1"/>
      <w:lvlText w:val="•"/>
      <w:lvlJc w:val="left"/>
      <w:pPr>
        <w:tabs>
          <w:tab w:val="num" w:pos="360"/>
        </w:tabs>
        <w:ind w:left="360" w:hanging="360"/>
      </w:pPr>
      <w:rPr>
        <w:rFonts w:ascii="Arial" w:hAnsi="Arial" w:cs="Arial"/>
      </w:rPr>
    </w:lvl>
    <w:lvl w:ilvl="5">
      <w:start w:val="1"/>
      <w:numFmt w:val="lowerRoman"/>
      <w:pStyle w:val="TableBullet2"/>
      <w:lvlText w:val="─"/>
      <w:lvlJc w:val="left"/>
      <w:pPr>
        <w:tabs>
          <w:tab w:val="num" w:pos="720"/>
        </w:tabs>
        <w:ind w:left="720" w:hanging="360"/>
      </w:pPr>
      <w:rPr>
        <w:rFonts w:ascii="Arial" w:hAnsi="Arial" w:cs="Arial"/>
      </w:rPr>
    </w:lvl>
    <w:lvl w:ilvl="6">
      <w:start w:val="1"/>
      <w:numFmt w:val="decimal"/>
      <w:pStyle w:val="TableBullet3"/>
      <w:lvlText w:val="−"/>
      <w:lvlJc w:val="left"/>
      <w:pPr>
        <w:tabs>
          <w:tab w:val="num" w:pos="1080"/>
        </w:tabs>
        <w:ind w:left="1080" w:hanging="360"/>
      </w:pPr>
      <w:rPr>
        <w:rFonts w:ascii="Arial" w:hAnsi="Arial" w:cs="Arial"/>
      </w:rPr>
    </w:lvl>
    <w:lvl w:ilvl="7">
      <w:start w:val="1"/>
      <w:numFmt w:val="lowerLetter"/>
      <w:pStyle w:val="TableBullet4"/>
      <w:lvlText w:val="−"/>
      <w:lvlJc w:val="left"/>
      <w:pPr>
        <w:tabs>
          <w:tab w:val="num" w:pos="1440"/>
        </w:tabs>
        <w:ind w:left="1440" w:hanging="360"/>
      </w:pPr>
      <w:rPr>
        <w:rFonts w:ascii="Arial" w:hAnsi="Arial" w:cs="Arial"/>
      </w:rPr>
    </w:lvl>
    <w:lvl w:ilvl="8">
      <w:start w:val="1"/>
      <w:numFmt w:val="lowerRoman"/>
      <w:lvlText w:val="%9."/>
      <w:lvlJc w:val="left"/>
      <w:pPr>
        <w:tabs>
          <w:tab w:val="num" w:pos="3240"/>
        </w:tabs>
        <w:ind w:left="3240" w:hanging="360"/>
      </w:pPr>
    </w:lvl>
  </w:abstractNum>
  <w:abstractNum w:abstractNumId="5" w15:restartNumberingAfterBreak="0">
    <w:nsid w:val="247E264C"/>
    <w:multiLevelType w:val="multilevel"/>
    <w:tmpl w:val="410CBDD0"/>
    <w:styleLink w:val="ChubbNumberList2"/>
    <w:lvl w:ilvl="0">
      <w:start w:val="1"/>
      <w:numFmt w:val="decimal"/>
      <w:pStyle w:val="NumberHeading1"/>
      <w:lvlText w:val="%1."/>
      <w:lvlJc w:val="left"/>
      <w:pPr>
        <w:tabs>
          <w:tab w:val="num" w:pos="0"/>
        </w:tabs>
        <w:ind w:left="425" w:hanging="425"/>
      </w:pPr>
      <w:rPr>
        <w:rFonts w:hint="default"/>
      </w:rPr>
    </w:lvl>
    <w:lvl w:ilvl="1">
      <w:start w:val="1"/>
      <w:numFmt w:val="decimal"/>
      <w:pStyle w:val="NumberHeading2"/>
      <w:lvlText w:val="%1.%2"/>
      <w:lvlJc w:val="left"/>
      <w:pPr>
        <w:tabs>
          <w:tab w:val="num" w:pos="0"/>
        </w:tabs>
        <w:ind w:left="425" w:hanging="425"/>
      </w:pPr>
      <w:rPr>
        <w:rFonts w:hint="default"/>
      </w:rPr>
    </w:lvl>
    <w:lvl w:ilvl="2">
      <w:start w:val="1"/>
      <w:numFmt w:val="decimal"/>
      <w:pStyle w:val="NumberHeading3"/>
      <w:lvlText w:val="%1.%2.%3"/>
      <w:lvlJc w:val="left"/>
      <w:pPr>
        <w:tabs>
          <w:tab w:val="num" w:pos="425"/>
        </w:tabs>
        <w:ind w:left="851" w:hanging="426"/>
      </w:pPr>
      <w:rPr>
        <w:rFonts w:hint="default"/>
      </w:rPr>
    </w:lvl>
    <w:lvl w:ilvl="3">
      <w:start w:val="1"/>
      <w:numFmt w:val="lowerRoman"/>
      <w:pStyle w:val="NumberHeading4"/>
      <w:lvlText w:val="(%4)"/>
      <w:lvlJc w:val="left"/>
      <w:pPr>
        <w:tabs>
          <w:tab w:val="num" w:pos="425"/>
        </w:tabs>
        <w:ind w:left="851" w:hanging="426"/>
      </w:pPr>
      <w:rPr>
        <w:rFonts w:hint="default"/>
      </w:rPr>
    </w:lvl>
    <w:lvl w:ilvl="4">
      <w:start w:val="1"/>
      <w:numFmt w:val="lowerLetter"/>
      <w:pStyle w:val="NumberHeading5"/>
      <w:lvlText w:val="(%5)"/>
      <w:lvlJc w:val="left"/>
      <w:pPr>
        <w:tabs>
          <w:tab w:val="num" w:pos="425"/>
        </w:tabs>
        <w:ind w:left="851" w:hanging="426"/>
      </w:pPr>
      <w:rPr>
        <w:rFonts w:hint="default"/>
      </w:rPr>
    </w:lvl>
    <w:lvl w:ilvl="5">
      <w:start w:val="1"/>
      <w:numFmt w:val="lowerLetter"/>
      <w:pStyle w:val="NumberHeading6"/>
      <w:lvlText w:val="(%6)"/>
      <w:lvlJc w:val="left"/>
      <w:pPr>
        <w:tabs>
          <w:tab w:val="num" w:pos="851"/>
        </w:tabs>
        <w:ind w:left="1276" w:hanging="425"/>
      </w:pPr>
      <w:rPr>
        <w:rFonts w:hint="default"/>
      </w:rPr>
    </w:lvl>
    <w:lvl w:ilvl="6">
      <w:start w:val="1"/>
      <w:numFmt w:val="lowerRoman"/>
      <w:pStyle w:val="NumberHeading7"/>
      <w:lvlText w:val="(%7)"/>
      <w:lvlJc w:val="left"/>
      <w:pPr>
        <w:tabs>
          <w:tab w:val="num" w:pos="851"/>
        </w:tabs>
        <w:ind w:left="1276"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6" w15:restartNumberingAfterBreak="0">
    <w:nsid w:val="26622892"/>
    <w:multiLevelType w:val="multilevel"/>
    <w:tmpl w:val="6B0633DA"/>
    <w:name w:val="BulletLis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pStyle w:val="Seznamsodrkami"/>
      <w:lvlText w:val="•"/>
      <w:lvlJc w:val="left"/>
      <w:pPr>
        <w:tabs>
          <w:tab w:val="num" w:pos="360"/>
        </w:tabs>
        <w:ind w:left="360" w:hanging="360"/>
      </w:pPr>
      <w:rPr>
        <w:rFonts w:ascii="Arial" w:hAnsi="Arial" w:cs="Arial"/>
      </w:rPr>
    </w:lvl>
    <w:lvl w:ilvl="5">
      <w:start w:val="1"/>
      <w:numFmt w:val="lowerRoman"/>
      <w:pStyle w:val="Seznamsodrkami2"/>
      <w:lvlText w:val="─"/>
      <w:lvlJc w:val="left"/>
      <w:pPr>
        <w:tabs>
          <w:tab w:val="num" w:pos="720"/>
        </w:tabs>
        <w:ind w:left="720" w:hanging="360"/>
      </w:pPr>
      <w:rPr>
        <w:rFonts w:ascii="Arial" w:hAnsi="Arial" w:cs="Arial"/>
      </w:rPr>
    </w:lvl>
    <w:lvl w:ilvl="6">
      <w:start w:val="1"/>
      <w:numFmt w:val="decimal"/>
      <w:pStyle w:val="Seznamsodrkami3"/>
      <w:lvlText w:val="−"/>
      <w:lvlJc w:val="left"/>
      <w:pPr>
        <w:tabs>
          <w:tab w:val="num" w:pos="1080"/>
        </w:tabs>
        <w:ind w:left="1080" w:hanging="360"/>
      </w:pPr>
      <w:rPr>
        <w:rFonts w:ascii="Arial" w:hAnsi="Arial" w:cs="Arial"/>
      </w:rPr>
    </w:lvl>
    <w:lvl w:ilvl="7">
      <w:start w:val="1"/>
      <w:numFmt w:val="lowerLetter"/>
      <w:pStyle w:val="Seznamsodrkami4"/>
      <w:lvlText w:val="−"/>
      <w:lvlJc w:val="left"/>
      <w:pPr>
        <w:tabs>
          <w:tab w:val="num" w:pos="1440"/>
        </w:tabs>
        <w:ind w:left="1440" w:hanging="360"/>
      </w:pPr>
      <w:rPr>
        <w:rFonts w:ascii="Arial" w:hAnsi="Arial" w:cs="Arial"/>
      </w:rPr>
    </w:lvl>
    <w:lvl w:ilvl="8">
      <w:start w:val="1"/>
      <w:numFmt w:val="lowerRoman"/>
      <w:lvlText w:val="%9."/>
      <w:lvlJc w:val="left"/>
      <w:pPr>
        <w:tabs>
          <w:tab w:val="num" w:pos="3240"/>
        </w:tabs>
        <w:ind w:left="3240" w:hanging="360"/>
      </w:pPr>
    </w:lvl>
  </w:abstractNum>
  <w:abstractNum w:abstractNumId="7" w15:restartNumberingAfterBreak="0">
    <w:nsid w:val="27564B90"/>
    <w:multiLevelType w:val="multilevel"/>
    <w:tmpl w:val="AD866934"/>
    <w:lvl w:ilvl="0">
      <w:start w:val="1"/>
      <w:numFmt w:val="decimal"/>
      <w:pStyle w:val="MultilineList-Numerical"/>
      <w:lvlText w:val="%1."/>
      <w:lvlJc w:val="left"/>
      <w:pPr>
        <w:ind w:left="640" w:hanging="340"/>
      </w:pPr>
      <w:rPr>
        <w:rFonts w:hint="default"/>
      </w:rPr>
    </w:lvl>
    <w:lvl w:ilvl="1">
      <w:start w:val="1"/>
      <w:numFmt w:val="decimal"/>
      <w:lvlText w:val="%1.%2"/>
      <w:lvlJc w:val="left"/>
      <w:pPr>
        <w:ind w:left="1037" w:hanging="397"/>
      </w:pPr>
      <w:rPr>
        <w:rFonts w:hint="default"/>
      </w:rPr>
    </w:lvl>
    <w:lvl w:ilvl="2">
      <w:start w:val="1"/>
      <w:numFmt w:val="decimal"/>
      <w:lvlText w:val="%1.%2.%3"/>
      <w:lvlJc w:val="left"/>
      <w:pPr>
        <w:ind w:left="1604" w:hanging="567"/>
      </w:pPr>
      <w:rPr>
        <w:rFonts w:hint="default"/>
      </w:rPr>
    </w:lvl>
    <w:lvl w:ilvl="3">
      <w:start w:val="1"/>
      <w:numFmt w:val="decimal"/>
      <w:lvlText w:val="%1.%2.%3.%4"/>
      <w:lvlJc w:val="left"/>
      <w:pPr>
        <w:ind w:left="2341" w:hanging="737"/>
      </w:pPr>
      <w:rPr>
        <w:rFonts w:hint="default"/>
      </w:rPr>
    </w:lvl>
    <w:lvl w:ilvl="4">
      <w:start w:val="1"/>
      <w:numFmt w:val="lowerLetter"/>
      <w:lvlText w:val="(%5)"/>
      <w:lvlJc w:val="left"/>
      <w:pPr>
        <w:ind w:left="2100" w:hanging="360"/>
      </w:pPr>
      <w:rPr>
        <w:rFonts w:hint="default"/>
      </w:rPr>
    </w:lvl>
    <w:lvl w:ilvl="5">
      <w:start w:val="1"/>
      <w:numFmt w:val="lowerRoman"/>
      <w:lvlText w:val="(%6)"/>
      <w:lvlJc w:val="left"/>
      <w:pPr>
        <w:ind w:left="2460" w:hanging="360"/>
      </w:pPr>
      <w:rPr>
        <w:rFonts w:hint="default"/>
      </w:rPr>
    </w:lvl>
    <w:lvl w:ilvl="6">
      <w:start w:val="1"/>
      <w:numFmt w:val="decimal"/>
      <w:lvlText w:val="%7."/>
      <w:lvlJc w:val="left"/>
      <w:pPr>
        <w:ind w:left="2820" w:hanging="360"/>
      </w:pPr>
      <w:rPr>
        <w:rFonts w:hint="default"/>
      </w:rPr>
    </w:lvl>
    <w:lvl w:ilvl="7">
      <w:start w:val="1"/>
      <w:numFmt w:val="lowerLetter"/>
      <w:lvlText w:val="%8."/>
      <w:lvlJc w:val="left"/>
      <w:pPr>
        <w:ind w:left="3180" w:hanging="360"/>
      </w:pPr>
      <w:rPr>
        <w:rFonts w:hint="default"/>
      </w:rPr>
    </w:lvl>
    <w:lvl w:ilvl="8">
      <w:start w:val="1"/>
      <w:numFmt w:val="lowerRoman"/>
      <w:lvlText w:val="%9."/>
      <w:lvlJc w:val="left"/>
      <w:pPr>
        <w:ind w:left="3540" w:hanging="360"/>
      </w:pPr>
      <w:rPr>
        <w:rFonts w:hint="default"/>
      </w:rPr>
    </w:lvl>
  </w:abstractNum>
  <w:abstractNum w:abstractNumId="8" w15:restartNumberingAfterBreak="0">
    <w:nsid w:val="2DC10888"/>
    <w:multiLevelType w:val="multilevel"/>
    <w:tmpl w:val="410CBDD0"/>
    <w:numStyleLink w:val="ChubbNumberList2"/>
  </w:abstractNum>
  <w:abstractNum w:abstractNumId="9" w15:restartNumberingAfterBreak="0">
    <w:nsid w:val="31303272"/>
    <w:multiLevelType w:val="multilevel"/>
    <w:tmpl w:val="0DA82AAC"/>
    <w:name w:val="S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0"/>
        </w:tabs>
        <w:ind w:left="0" w:firstLine="0"/>
      </w:p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10" w15:restartNumberingAfterBreak="0">
    <w:nsid w:val="4664318C"/>
    <w:multiLevelType w:val="multilevel"/>
    <w:tmpl w:val="A96E93D6"/>
    <w:name w:val="AppHeadingNumberRep"/>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upperLetter"/>
      <w:suff w:val="nothing"/>
      <w:lvlText w:val="Appendix: %5."/>
      <w:lvlJc w:val="left"/>
      <w:pPr>
        <w:tabs>
          <w:tab w:val="num" w:pos="0"/>
        </w:tabs>
        <w:ind w:left="0" w:firstLine="0"/>
      </w:pPr>
      <w:rPr>
        <w:b w:val="0"/>
        <w:i w:val="0"/>
        <w:caps w:val="0"/>
        <w:smallCaps w:val="0"/>
        <w:vanish/>
        <w:u w:val="none"/>
      </w:rPr>
    </w:lvl>
    <w:lvl w:ilvl="5">
      <w:start w:val="1"/>
      <w:numFmt w:val="decimal"/>
      <w:lvlText w:val="%5.%6."/>
      <w:lvlJc w:val="left"/>
      <w:pPr>
        <w:tabs>
          <w:tab w:val="num" w:pos="840"/>
        </w:tabs>
        <w:ind w:left="840" w:hanging="840"/>
      </w:pPr>
    </w:lvl>
    <w:lvl w:ilvl="6">
      <w:start w:val="1"/>
      <w:numFmt w:val="decimal"/>
      <w:lvlText w:val="%5.%6.%7."/>
      <w:lvlJc w:val="left"/>
      <w:pPr>
        <w:tabs>
          <w:tab w:val="num" w:pos="1080"/>
        </w:tabs>
        <w:ind w:left="1080" w:hanging="1080"/>
      </w:pPr>
    </w:lvl>
    <w:lvl w:ilvl="7">
      <w:start w:val="1"/>
      <w:numFmt w:val="decimal"/>
      <w:lvlText w:val="%5.%6.%7.%8."/>
      <w:lvlJc w:val="left"/>
      <w:pPr>
        <w:tabs>
          <w:tab w:val="num" w:pos="1080"/>
        </w:tabs>
        <w:ind w:left="1080" w:hanging="1080"/>
      </w:pPr>
    </w:lvl>
    <w:lvl w:ilvl="8">
      <w:start w:val="1"/>
      <w:numFmt w:val="decimal"/>
      <w:lvlText w:val="%5.%6.%7.%8.%9"/>
      <w:lvlJc w:val="left"/>
      <w:pPr>
        <w:tabs>
          <w:tab w:val="num" w:pos="1080"/>
        </w:tabs>
        <w:ind w:left="1080" w:hanging="1080"/>
      </w:pPr>
    </w:lvl>
  </w:abstractNum>
  <w:abstractNum w:abstractNumId="11" w15:restartNumberingAfterBreak="0">
    <w:nsid w:val="5B854A28"/>
    <w:multiLevelType w:val="multilevel"/>
    <w:tmpl w:val="89840AAA"/>
    <w:name w:val="HeadingList"/>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51F21AA"/>
    <w:multiLevelType w:val="multilevel"/>
    <w:tmpl w:val="FFA64BB8"/>
    <w:name w:val="SREP_HEAD1"/>
    <w:lvl w:ilvl="0">
      <w:start w:val="1"/>
      <w:numFmt w:val="decimal"/>
      <w:lvlRestart w:val="0"/>
      <w:lvlText w:val="%1."/>
      <w:lvlJc w:val="left"/>
      <w:pPr>
        <w:tabs>
          <w:tab w:val="num" w:pos="0"/>
        </w:tabs>
        <w:ind w:left="0" w:hanging="600"/>
      </w:pPr>
      <w:rPr>
        <w:rFonts w:ascii="Arial" w:hAnsi="Arial" w:cs="Arial"/>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82C369C"/>
    <w:multiLevelType w:val="multilevel"/>
    <w:tmpl w:val="872AC156"/>
    <w:name w:val="NumHeadingLis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pStyle w:val="slovanseznam"/>
      <w:lvlText w:val="%6."/>
      <w:lvlJc w:val="left"/>
      <w:pPr>
        <w:tabs>
          <w:tab w:val="num" w:pos="360"/>
        </w:tabs>
        <w:ind w:left="360" w:hanging="360"/>
      </w:pPr>
    </w:lvl>
    <w:lvl w:ilvl="6">
      <w:start w:val="1"/>
      <w:numFmt w:val="upperLetter"/>
      <w:pStyle w:val="slovanseznam2"/>
      <w:lvlText w:val="%7."/>
      <w:lvlJc w:val="left"/>
      <w:pPr>
        <w:tabs>
          <w:tab w:val="num" w:pos="720"/>
        </w:tabs>
        <w:ind w:left="720" w:hanging="360"/>
      </w:pPr>
    </w:lvl>
    <w:lvl w:ilvl="7">
      <w:start w:val="1"/>
      <w:numFmt w:val="lowerRoman"/>
      <w:pStyle w:val="slovanseznam3"/>
      <w:lvlText w:val="%8."/>
      <w:lvlJc w:val="left"/>
      <w:pPr>
        <w:tabs>
          <w:tab w:val="num" w:pos="1080"/>
        </w:tabs>
        <w:ind w:left="1080" w:hanging="360"/>
      </w:pPr>
    </w:lvl>
    <w:lvl w:ilvl="8">
      <w:start w:val="1"/>
      <w:numFmt w:val="lowerLetter"/>
      <w:pStyle w:val="slovanseznam4"/>
      <w:lvlText w:val="%9."/>
      <w:lvlJc w:val="left"/>
      <w:pPr>
        <w:tabs>
          <w:tab w:val="num" w:pos="1440"/>
        </w:tabs>
        <w:ind w:left="1440" w:hanging="360"/>
      </w:pPr>
    </w:lvl>
  </w:abstractNum>
  <w:abstractNum w:abstractNumId="14" w15:restartNumberingAfterBreak="0">
    <w:nsid w:val="72F44341"/>
    <w:multiLevelType w:val="multilevel"/>
    <w:tmpl w:val="4968AFAC"/>
    <w:name w:val="SectionStart"/>
    <w:lvl w:ilvl="0">
      <w:start w:val="1"/>
      <w:numFmt w:val="decimal"/>
      <w:lvlRestart w:val="0"/>
      <w:lvlText w:val="%1"/>
      <w:lvlJc w:val="left"/>
      <w:pPr>
        <w:tabs>
          <w:tab w:val="num" w:pos="360"/>
        </w:tabs>
        <w:ind w:left="360" w:hanging="18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6"/>
  </w:num>
  <w:num w:numId="3">
    <w:abstractNumId w:val="4"/>
  </w:num>
  <w:num w:numId="4">
    <w:abstractNumId w:val="13"/>
  </w:num>
  <w:num w:numId="5">
    <w:abstractNumId w:val="1"/>
  </w:num>
  <w:num w:numId="6">
    <w:abstractNumId w:val="5"/>
  </w:num>
  <w:num w:numId="7">
    <w:abstractNumId w:val="8"/>
  </w:num>
  <w:num w:numId="8">
    <w:abstractNumId w:val="7"/>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LockTheme/>
  <w:styleLockQFSet/>
  <w:defaultTabStop w:val="360"/>
  <w:hyphenationZone w:val="425"/>
  <w:doNotHyphenateCaps/>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64E"/>
    <w:rsid w:val="00000594"/>
    <w:rsid w:val="00001F81"/>
    <w:rsid w:val="00005EDE"/>
    <w:rsid w:val="000071F3"/>
    <w:rsid w:val="000072D8"/>
    <w:rsid w:val="00012863"/>
    <w:rsid w:val="00012D24"/>
    <w:rsid w:val="000175DA"/>
    <w:rsid w:val="00024727"/>
    <w:rsid w:val="00025023"/>
    <w:rsid w:val="000304FD"/>
    <w:rsid w:val="000345C2"/>
    <w:rsid w:val="0003529C"/>
    <w:rsid w:val="00041E40"/>
    <w:rsid w:val="00043F23"/>
    <w:rsid w:val="0005679F"/>
    <w:rsid w:val="000616B9"/>
    <w:rsid w:val="000721BA"/>
    <w:rsid w:val="0007700E"/>
    <w:rsid w:val="00084E2C"/>
    <w:rsid w:val="0008621C"/>
    <w:rsid w:val="000923C9"/>
    <w:rsid w:val="0009387B"/>
    <w:rsid w:val="000A237C"/>
    <w:rsid w:val="000A79C6"/>
    <w:rsid w:val="000C10E0"/>
    <w:rsid w:val="000C34A8"/>
    <w:rsid w:val="000C7C45"/>
    <w:rsid w:val="000D3A03"/>
    <w:rsid w:val="000E1959"/>
    <w:rsid w:val="000E239B"/>
    <w:rsid w:val="000E75A7"/>
    <w:rsid w:val="000F3C99"/>
    <w:rsid w:val="000F3C9F"/>
    <w:rsid w:val="000F4A92"/>
    <w:rsid w:val="00100C34"/>
    <w:rsid w:val="00103400"/>
    <w:rsid w:val="001038B6"/>
    <w:rsid w:val="00104A5A"/>
    <w:rsid w:val="00106BEA"/>
    <w:rsid w:val="00115DDA"/>
    <w:rsid w:val="00121041"/>
    <w:rsid w:val="001213B7"/>
    <w:rsid w:val="00133104"/>
    <w:rsid w:val="00137135"/>
    <w:rsid w:val="00137603"/>
    <w:rsid w:val="00143C93"/>
    <w:rsid w:val="00146987"/>
    <w:rsid w:val="00151AFF"/>
    <w:rsid w:val="0015303D"/>
    <w:rsid w:val="0015572B"/>
    <w:rsid w:val="00156E01"/>
    <w:rsid w:val="0015700C"/>
    <w:rsid w:val="00164BFB"/>
    <w:rsid w:val="0017118F"/>
    <w:rsid w:val="00174432"/>
    <w:rsid w:val="00192C30"/>
    <w:rsid w:val="0019430B"/>
    <w:rsid w:val="001A0384"/>
    <w:rsid w:val="001A128A"/>
    <w:rsid w:val="001B35C3"/>
    <w:rsid w:val="001B66B0"/>
    <w:rsid w:val="001B66EC"/>
    <w:rsid w:val="001B6DB1"/>
    <w:rsid w:val="001C0462"/>
    <w:rsid w:val="001C5A6E"/>
    <w:rsid w:val="001C77E4"/>
    <w:rsid w:val="001D4839"/>
    <w:rsid w:val="001D5708"/>
    <w:rsid w:val="001D668D"/>
    <w:rsid w:val="001D7B2D"/>
    <w:rsid w:val="001E4003"/>
    <w:rsid w:val="001E73D5"/>
    <w:rsid w:val="001F29EB"/>
    <w:rsid w:val="001F5F3A"/>
    <w:rsid w:val="002007B3"/>
    <w:rsid w:val="00202D60"/>
    <w:rsid w:val="0020348C"/>
    <w:rsid w:val="00205EB0"/>
    <w:rsid w:val="00206777"/>
    <w:rsid w:val="00207881"/>
    <w:rsid w:val="002114F8"/>
    <w:rsid w:val="002143E7"/>
    <w:rsid w:val="00214C72"/>
    <w:rsid w:val="002214EB"/>
    <w:rsid w:val="0022354D"/>
    <w:rsid w:val="002256DE"/>
    <w:rsid w:val="00225C5D"/>
    <w:rsid w:val="00232C82"/>
    <w:rsid w:val="0023478C"/>
    <w:rsid w:val="00236D94"/>
    <w:rsid w:val="0024133B"/>
    <w:rsid w:val="00247EF5"/>
    <w:rsid w:val="00251C75"/>
    <w:rsid w:val="00252359"/>
    <w:rsid w:val="00252F8D"/>
    <w:rsid w:val="002541F7"/>
    <w:rsid w:val="00263CD9"/>
    <w:rsid w:val="00264ADE"/>
    <w:rsid w:val="00265E55"/>
    <w:rsid w:val="00267133"/>
    <w:rsid w:val="002675F3"/>
    <w:rsid w:val="00271E67"/>
    <w:rsid w:val="00273AE8"/>
    <w:rsid w:val="002752ED"/>
    <w:rsid w:val="002839C0"/>
    <w:rsid w:val="00286592"/>
    <w:rsid w:val="002875D3"/>
    <w:rsid w:val="00296587"/>
    <w:rsid w:val="002A0040"/>
    <w:rsid w:val="002A379B"/>
    <w:rsid w:val="002A4911"/>
    <w:rsid w:val="002B0E01"/>
    <w:rsid w:val="002B1801"/>
    <w:rsid w:val="002B1B52"/>
    <w:rsid w:val="002B1C94"/>
    <w:rsid w:val="002B46BF"/>
    <w:rsid w:val="002B492C"/>
    <w:rsid w:val="002C00A2"/>
    <w:rsid w:val="002C586C"/>
    <w:rsid w:val="002D1AC6"/>
    <w:rsid w:val="002D201D"/>
    <w:rsid w:val="002D22FB"/>
    <w:rsid w:val="002D2484"/>
    <w:rsid w:val="002D6167"/>
    <w:rsid w:val="002D7061"/>
    <w:rsid w:val="002E11B9"/>
    <w:rsid w:val="002F7C22"/>
    <w:rsid w:val="003044BF"/>
    <w:rsid w:val="0031538F"/>
    <w:rsid w:val="003200CB"/>
    <w:rsid w:val="00323B24"/>
    <w:rsid w:val="00323DE7"/>
    <w:rsid w:val="003312F6"/>
    <w:rsid w:val="003325E8"/>
    <w:rsid w:val="00332A67"/>
    <w:rsid w:val="003375B9"/>
    <w:rsid w:val="00343CA0"/>
    <w:rsid w:val="003510E9"/>
    <w:rsid w:val="00351700"/>
    <w:rsid w:val="00352224"/>
    <w:rsid w:val="00352623"/>
    <w:rsid w:val="00352E10"/>
    <w:rsid w:val="003545AD"/>
    <w:rsid w:val="00356CED"/>
    <w:rsid w:val="00360E6F"/>
    <w:rsid w:val="0036198A"/>
    <w:rsid w:val="003725ED"/>
    <w:rsid w:val="00372ED0"/>
    <w:rsid w:val="00373E90"/>
    <w:rsid w:val="0038245D"/>
    <w:rsid w:val="00383156"/>
    <w:rsid w:val="00387751"/>
    <w:rsid w:val="00387D39"/>
    <w:rsid w:val="0039141E"/>
    <w:rsid w:val="00393DD8"/>
    <w:rsid w:val="00396DE4"/>
    <w:rsid w:val="003A554E"/>
    <w:rsid w:val="003A5B54"/>
    <w:rsid w:val="003B381B"/>
    <w:rsid w:val="003B3C1B"/>
    <w:rsid w:val="003C09B2"/>
    <w:rsid w:val="003C2B5D"/>
    <w:rsid w:val="003C4E0F"/>
    <w:rsid w:val="003C61D0"/>
    <w:rsid w:val="003C6295"/>
    <w:rsid w:val="003C6DED"/>
    <w:rsid w:val="003D0DDF"/>
    <w:rsid w:val="003D2CE8"/>
    <w:rsid w:val="003D404A"/>
    <w:rsid w:val="003E1099"/>
    <w:rsid w:val="003E32B9"/>
    <w:rsid w:val="003F0AC8"/>
    <w:rsid w:val="003F2825"/>
    <w:rsid w:val="00402550"/>
    <w:rsid w:val="004027E6"/>
    <w:rsid w:val="004030BE"/>
    <w:rsid w:val="00404A1D"/>
    <w:rsid w:val="00413467"/>
    <w:rsid w:val="00414BFC"/>
    <w:rsid w:val="00417DED"/>
    <w:rsid w:val="0042535A"/>
    <w:rsid w:val="004271F6"/>
    <w:rsid w:val="00431827"/>
    <w:rsid w:val="00440D6C"/>
    <w:rsid w:val="00441196"/>
    <w:rsid w:val="0044352F"/>
    <w:rsid w:val="004447E7"/>
    <w:rsid w:val="00445BF5"/>
    <w:rsid w:val="004520AE"/>
    <w:rsid w:val="004539A3"/>
    <w:rsid w:val="00462FEF"/>
    <w:rsid w:val="00463AF9"/>
    <w:rsid w:val="00466ED2"/>
    <w:rsid w:val="004712B3"/>
    <w:rsid w:val="00473F56"/>
    <w:rsid w:val="00474105"/>
    <w:rsid w:val="00475817"/>
    <w:rsid w:val="0047767B"/>
    <w:rsid w:val="00486D39"/>
    <w:rsid w:val="00487E26"/>
    <w:rsid w:val="004925F4"/>
    <w:rsid w:val="004A1D25"/>
    <w:rsid w:val="004A57C3"/>
    <w:rsid w:val="004B3B48"/>
    <w:rsid w:val="004B4577"/>
    <w:rsid w:val="004B67A0"/>
    <w:rsid w:val="004C20E3"/>
    <w:rsid w:val="004D5544"/>
    <w:rsid w:val="004D5549"/>
    <w:rsid w:val="004E3C31"/>
    <w:rsid w:val="004E5FCE"/>
    <w:rsid w:val="004F1766"/>
    <w:rsid w:val="004F6134"/>
    <w:rsid w:val="004F66F0"/>
    <w:rsid w:val="0050274D"/>
    <w:rsid w:val="0050377A"/>
    <w:rsid w:val="005040BC"/>
    <w:rsid w:val="005040F2"/>
    <w:rsid w:val="00507128"/>
    <w:rsid w:val="00510C10"/>
    <w:rsid w:val="005241DA"/>
    <w:rsid w:val="0052550D"/>
    <w:rsid w:val="00527802"/>
    <w:rsid w:val="00530098"/>
    <w:rsid w:val="005303D1"/>
    <w:rsid w:val="0053148D"/>
    <w:rsid w:val="0053307A"/>
    <w:rsid w:val="0053324C"/>
    <w:rsid w:val="00534064"/>
    <w:rsid w:val="00535B3E"/>
    <w:rsid w:val="00536B42"/>
    <w:rsid w:val="00542183"/>
    <w:rsid w:val="00542D6D"/>
    <w:rsid w:val="00542DEC"/>
    <w:rsid w:val="00547D7E"/>
    <w:rsid w:val="00563B7A"/>
    <w:rsid w:val="0056489A"/>
    <w:rsid w:val="00567BA0"/>
    <w:rsid w:val="00585078"/>
    <w:rsid w:val="005916ED"/>
    <w:rsid w:val="00591BC4"/>
    <w:rsid w:val="00594123"/>
    <w:rsid w:val="005A137C"/>
    <w:rsid w:val="005B289F"/>
    <w:rsid w:val="005B7AC7"/>
    <w:rsid w:val="005C2E6C"/>
    <w:rsid w:val="005C7337"/>
    <w:rsid w:val="005D679C"/>
    <w:rsid w:val="005F3390"/>
    <w:rsid w:val="006053D6"/>
    <w:rsid w:val="00612735"/>
    <w:rsid w:val="00613A42"/>
    <w:rsid w:val="00614717"/>
    <w:rsid w:val="00615663"/>
    <w:rsid w:val="006169E8"/>
    <w:rsid w:val="00633E87"/>
    <w:rsid w:val="00640123"/>
    <w:rsid w:val="00642686"/>
    <w:rsid w:val="00646291"/>
    <w:rsid w:val="00647CF5"/>
    <w:rsid w:val="00655181"/>
    <w:rsid w:val="00655F11"/>
    <w:rsid w:val="00656A63"/>
    <w:rsid w:val="00660935"/>
    <w:rsid w:val="00663869"/>
    <w:rsid w:val="00666E90"/>
    <w:rsid w:val="006751CC"/>
    <w:rsid w:val="0067688E"/>
    <w:rsid w:val="006769D1"/>
    <w:rsid w:val="00680CDD"/>
    <w:rsid w:val="0068292F"/>
    <w:rsid w:val="00683830"/>
    <w:rsid w:val="006839F4"/>
    <w:rsid w:val="00683D31"/>
    <w:rsid w:val="006846BD"/>
    <w:rsid w:val="00690D8E"/>
    <w:rsid w:val="00694873"/>
    <w:rsid w:val="006A697A"/>
    <w:rsid w:val="006B2AA1"/>
    <w:rsid w:val="006B7E48"/>
    <w:rsid w:val="006C1E7E"/>
    <w:rsid w:val="006C3B4F"/>
    <w:rsid w:val="006E0706"/>
    <w:rsid w:val="006E18D0"/>
    <w:rsid w:val="006E2B6A"/>
    <w:rsid w:val="006E3D04"/>
    <w:rsid w:val="006F4AD9"/>
    <w:rsid w:val="006F733B"/>
    <w:rsid w:val="006F76D4"/>
    <w:rsid w:val="0070402B"/>
    <w:rsid w:val="0071225E"/>
    <w:rsid w:val="00715ECF"/>
    <w:rsid w:val="007241C1"/>
    <w:rsid w:val="007279CC"/>
    <w:rsid w:val="0073284C"/>
    <w:rsid w:val="007346C4"/>
    <w:rsid w:val="00741DE4"/>
    <w:rsid w:val="007420E5"/>
    <w:rsid w:val="00745D41"/>
    <w:rsid w:val="00746A27"/>
    <w:rsid w:val="0074782C"/>
    <w:rsid w:val="00763EA3"/>
    <w:rsid w:val="00767BD5"/>
    <w:rsid w:val="0077270E"/>
    <w:rsid w:val="007745F6"/>
    <w:rsid w:val="00774C9E"/>
    <w:rsid w:val="00780520"/>
    <w:rsid w:val="007A07BD"/>
    <w:rsid w:val="007A35AE"/>
    <w:rsid w:val="007A5D8E"/>
    <w:rsid w:val="007B334B"/>
    <w:rsid w:val="007C2F7B"/>
    <w:rsid w:val="007D53AF"/>
    <w:rsid w:val="007E025F"/>
    <w:rsid w:val="008031BC"/>
    <w:rsid w:val="00805A69"/>
    <w:rsid w:val="00813EFF"/>
    <w:rsid w:val="008211D0"/>
    <w:rsid w:val="0082716E"/>
    <w:rsid w:val="00833C7A"/>
    <w:rsid w:val="00851BD1"/>
    <w:rsid w:val="00851FC8"/>
    <w:rsid w:val="00853F01"/>
    <w:rsid w:val="00855B98"/>
    <w:rsid w:val="008560B9"/>
    <w:rsid w:val="008604DF"/>
    <w:rsid w:val="00865BE4"/>
    <w:rsid w:val="00873660"/>
    <w:rsid w:val="00873A00"/>
    <w:rsid w:val="00873D3B"/>
    <w:rsid w:val="00874833"/>
    <w:rsid w:val="00886CEC"/>
    <w:rsid w:val="00886EE0"/>
    <w:rsid w:val="00895245"/>
    <w:rsid w:val="008A40DE"/>
    <w:rsid w:val="008A4675"/>
    <w:rsid w:val="008B0C2A"/>
    <w:rsid w:val="008B7ECD"/>
    <w:rsid w:val="008C2B85"/>
    <w:rsid w:val="008C3514"/>
    <w:rsid w:val="008C5265"/>
    <w:rsid w:val="008C5B4A"/>
    <w:rsid w:val="008D75A5"/>
    <w:rsid w:val="008F08BB"/>
    <w:rsid w:val="008F0BEA"/>
    <w:rsid w:val="008F36AA"/>
    <w:rsid w:val="00900142"/>
    <w:rsid w:val="00915B6F"/>
    <w:rsid w:val="00916327"/>
    <w:rsid w:val="00916439"/>
    <w:rsid w:val="00920867"/>
    <w:rsid w:val="00921D66"/>
    <w:rsid w:val="00924D8A"/>
    <w:rsid w:val="00931981"/>
    <w:rsid w:val="00932883"/>
    <w:rsid w:val="009466D2"/>
    <w:rsid w:val="00957727"/>
    <w:rsid w:val="00957D49"/>
    <w:rsid w:val="00963FA3"/>
    <w:rsid w:val="00964E28"/>
    <w:rsid w:val="00971AEC"/>
    <w:rsid w:val="00971BCD"/>
    <w:rsid w:val="0097721D"/>
    <w:rsid w:val="00982433"/>
    <w:rsid w:val="00987E94"/>
    <w:rsid w:val="009930D9"/>
    <w:rsid w:val="00993B03"/>
    <w:rsid w:val="00997946"/>
    <w:rsid w:val="009A4F36"/>
    <w:rsid w:val="009A57F1"/>
    <w:rsid w:val="009B1C52"/>
    <w:rsid w:val="009B3008"/>
    <w:rsid w:val="009B4F40"/>
    <w:rsid w:val="009D224F"/>
    <w:rsid w:val="009D485B"/>
    <w:rsid w:val="009E5F62"/>
    <w:rsid w:val="009E6624"/>
    <w:rsid w:val="009E6F9C"/>
    <w:rsid w:val="009F0E25"/>
    <w:rsid w:val="009F1AC6"/>
    <w:rsid w:val="009F5B0C"/>
    <w:rsid w:val="009F655F"/>
    <w:rsid w:val="009F6891"/>
    <w:rsid w:val="009F69FD"/>
    <w:rsid w:val="00A0005E"/>
    <w:rsid w:val="00A1449B"/>
    <w:rsid w:val="00A2046B"/>
    <w:rsid w:val="00A21A85"/>
    <w:rsid w:val="00A26B96"/>
    <w:rsid w:val="00A36B74"/>
    <w:rsid w:val="00A3797C"/>
    <w:rsid w:val="00A42A53"/>
    <w:rsid w:val="00A625C5"/>
    <w:rsid w:val="00A651A7"/>
    <w:rsid w:val="00A71231"/>
    <w:rsid w:val="00A725C3"/>
    <w:rsid w:val="00A75399"/>
    <w:rsid w:val="00A828AA"/>
    <w:rsid w:val="00A946F0"/>
    <w:rsid w:val="00A97825"/>
    <w:rsid w:val="00AA216E"/>
    <w:rsid w:val="00AB487C"/>
    <w:rsid w:val="00AB52F3"/>
    <w:rsid w:val="00AB6A5D"/>
    <w:rsid w:val="00AB76BD"/>
    <w:rsid w:val="00AC349D"/>
    <w:rsid w:val="00AC3F6C"/>
    <w:rsid w:val="00AC56E9"/>
    <w:rsid w:val="00AC5A2E"/>
    <w:rsid w:val="00AC670A"/>
    <w:rsid w:val="00AC70D8"/>
    <w:rsid w:val="00AD182C"/>
    <w:rsid w:val="00AD43FB"/>
    <w:rsid w:val="00AD6B76"/>
    <w:rsid w:val="00AE145C"/>
    <w:rsid w:val="00AE22F7"/>
    <w:rsid w:val="00AE23E9"/>
    <w:rsid w:val="00AE5009"/>
    <w:rsid w:val="00AE7E08"/>
    <w:rsid w:val="00AF244F"/>
    <w:rsid w:val="00AF53C7"/>
    <w:rsid w:val="00AF5646"/>
    <w:rsid w:val="00B01860"/>
    <w:rsid w:val="00B02066"/>
    <w:rsid w:val="00B02890"/>
    <w:rsid w:val="00B02C9F"/>
    <w:rsid w:val="00B038F8"/>
    <w:rsid w:val="00B04A26"/>
    <w:rsid w:val="00B04D42"/>
    <w:rsid w:val="00B1278F"/>
    <w:rsid w:val="00B20D8B"/>
    <w:rsid w:val="00B212FE"/>
    <w:rsid w:val="00B26428"/>
    <w:rsid w:val="00B26C63"/>
    <w:rsid w:val="00B3307F"/>
    <w:rsid w:val="00B456DB"/>
    <w:rsid w:val="00B464E3"/>
    <w:rsid w:val="00B52D48"/>
    <w:rsid w:val="00B57F15"/>
    <w:rsid w:val="00B60021"/>
    <w:rsid w:val="00B61305"/>
    <w:rsid w:val="00B7377C"/>
    <w:rsid w:val="00B8141B"/>
    <w:rsid w:val="00B87672"/>
    <w:rsid w:val="00B92125"/>
    <w:rsid w:val="00B96AC3"/>
    <w:rsid w:val="00B97008"/>
    <w:rsid w:val="00B97604"/>
    <w:rsid w:val="00BA7F2A"/>
    <w:rsid w:val="00BB43AC"/>
    <w:rsid w:val="00BB5BDD"/>
    <w:rsid w:val="00BC0B88"/>
    <w:rsid w:val="00BC6373"/>
    <w:rsid w:val="00BD1319"/>
    <w:rsid w:val="00BD197B"/>
    <w:rsid w:val="00BD1FAF"/>
    <w:rsid w:val="00BE4F5E"/>
    <w:rsid w:val="00BF05FC"/>
    <w:rsid w:val="00BF295B"/>
    <w:rsid w:val="00BF5C45"/>
    <w:rsid w:val="00C03624"/>
    <w:rsid w:val="00C06524"/>
    <w:rsid w:val="00C107CF"/>
    <w:rsid w:val="00C22F58"/>
    <w:rsid w:val="00C24906"/>
    <w:rsid w:val="00C31AAE"/>
    <w:rsid w:val="00C31DBD"/>
    <w:rsid w:val="00C43D62"/>
    <w:rsid w:val="00C44B0B"/>
    <w:rsid w:val="00C47017"/>
    <w:rsid w:val="00C54E49"/>
    <w:rsid w:val="00C57A7A"/>
    <w:rsid w:val="00C6062A"/>
    <w:rsid w:val="00C63AE9"/>
    <w:rsid w:val="00C6445E"/>
    <w:rsid w:val="00C65736"/>
    <w:rsid w:val="00C67480"/>
    <w:rsid w:val="00C76285"/>
    <w:rsid w:val="00C807E8"/>
    <w:rsid w:val="00C90BB6"/>
    <w:rsid w:val="00CA2624"/>
    <w:rsid w:val="00CA7A84"/>
    <w:rsid w:val="00CC4F49"/>
    <w:rsid w:val="00CC5F8D"/>
    <w:rsid w:val="00CD474E"/>
    <w:rsid w:val="00CD5E4E"/>
    <w:rsid w:val="00CD693D"/>
    <w:rsid w:val="00CD745C"/>
    <w:rsid w:val="00CE060A"/>
    <w:rsid w:val="00CE4C3D"/>
    <w:rsid w:val="00D0264E"/>
    <w:rsid w:val="00D02CA5"/>
    <w:rsid w:val="00D02F6A"/>
    <w:rsid w:val="00D03CAC"/>
    <w:rsid w:val="00D15FC6"/>
    <w:rsid w:val="00D17492"/>
    <w:rsid w:val="00D20E76"/>
    <w:rsid w:val="00D2399D"/>
    <w:rsid w:val="00D243D4"/>
    <w:rsid w:val="00D24503"/>
    <w:rsid w:val="00D356AC"/>
    <w:rsid w:val="00D40F3F"/>
    <w:rsid w:val="00D41613"/>
    <w:rsid w:val="00D43EFD"/>
    <w:rsid w:val="00D45D61"/>
    <w:rsid w:val="00D506FE"/>
    <w:rsid w:val="00D570CB"/>
    <w:rsid w:val="00D603DD"/>
    <w:rsid w:val="00D61262"/>
    <w:rsid w:val="00D64A78"/>
    <w:rsid w:val="00D65441"/>
    <w:rsid w:val="00D702EE"/>
    <w:rsid w:val="00D70CE8"/>
    <w:rsid w:val="00D70D59"/>
    <w:rsid w:val="00D766EA"/>
    <w:rsid w:val="00D840B9"/>
    <w:rsid w:val="00D84274"/>
    <w:rsid w:val="00D9102E"/>
    <w:rsid w:val="00D9242F"/>
    <w:rsid w:val="00D965D0"/>
    <w:rsid w:val="00D9682B"/>
    <w:rsid w:val="00DA71DA"/>
    <w:rsid w:val="00DB106D"/>
    <w:rsid w:val="00DB25FC"/>
    <w:rsid w:val="00DC097E"/>
    <w:rsid w:val="00DC1F56"/>
    <w:rsid w:val="00DC4ED8"/>
    <w:rsid w:val="00DC7824"/>
    <w:rsid w:val="00DD43FA"/>
    <w:rsid w:val="00DD503E"/>
    <w:rsid w:val="00DD5314"/>
    <w:rsid w:val="00DD7EAE"/>
    <w:rsid w:val="00DE221D"/>
    <w:rsid w:val="00DE7CD2"/>
    <w:rsid w:val="00DF1B1F"/>
    <w:rsid w:val="00DF209C"/>
    <w:rsid w:val="00DF2539"/>
    <w:rsid w:val="00DF2D4E"/>
    <w:rsid w:val="00E02B87"/>
    <w:rsid w:val="00E03828"/>
    <w:rsid w:val="00E06404"/>
    <w:rsid w:val="00E17D46"/>
    <w:rsid w:val="00E2091C"/>
    <w:rsid w:val="00E21C7E"/>
    <w:rsid w:val="00E21DEB"/>
    <w:rsid w:val="00E26E70"/>
    <w:rsid w:val="00E2752B"/>
    <w:rsid w:val="00E31562"/>
    <w:rsid w:val="00E32E2A"/>
    <w:rsid w:val="00E33284"/>
    <w:rsid w:val="00E35636"/>
    <w:rsid w:val="00E3581F"/>
    <w:rsid w:val="00E5689A"/>
    <w:rsid w:val="00E65099"/>
    <w:rsid w:val="00E67554"/>
    <w:rsid w:val="00E71252"/>
    <w:rsid w:val="00E75208"/>
    <w:rsid w:val="00E77D5C"/>
    <w:rsid w:val="00E77D8E"/>
    <w:rsid w:val="00E97D7E"/>
    <w:rsid w:val="00E97DC9"/>
    <w:rsid w:val="00EA0458"/>
    <w:rsid w:val="00EA17AD"/>
    <w:rsid w:val="00EB1483"/>
    <w:rsid w:val="00EB2F65"/>
    <w:rsid w:val="00EB3C64"/>
    <w:rsid w:val="00EC22FA"/>
    <w:rsid w:val="00ED7B1D"/>
    <w:rsid w:val="00EE5A7A"/>
    <w:rsid w:val="00EE5B1E"/>
    <w:rsid w:val="00EF0678"/>
    <w:rsid w:val="00EF11A4"/>
    <w:rsid w:val="00EF3183"/>
    <w:rsid w:val="00EF7961"/>
    <w:rsid w:val="00F02C12"/>
    <w:rsid w:val="00F03DBB"/>
    <w:rsid w:val="00F063B6"/>
    <w:rsid w:val="00F0691B"/>
    <w:rsid w:val="00F14742"/>
    <w:rsid w:val="00F1582A"/>
    <w:rsid w:val="00F24925"/>
    <w:rsid w:val="00F25422"/>
    <w:rsid w:val="00F254B9"/>
    <w:rsid w:val="00F266CF"/>
    <w:rsid w:val="00F26D90"/>
    <w:rsid w:val="00F32BA2"/>
    <w:rsid w:val="00F44818"/>
    <w:rsid w:val="00F44F41"/>
    <w:rsid w:val="00F465E4"/>
    <w:rsid w:val="00F46603"/>
    <w:rsid w:val="00F647A5"/>
    <w:rsid w:val="00F667DE"/>
    <w:rsid w:val="00F669D1"/>
    <w:rsid w:val="00F74FAE"/>
    <w:rsid w:val="00F772AA"/>
    <w:rsid w:val="00F82D7F"/>
    <w:rsid w:val="00F84F9D"/>
    <w:rsid w:val="00F92E7C"/>
    <w:rsid w:val="00FB62EE"/>
    <w:rsid w:val="00FB680A"/>
    <w:rsid w:val="00FB7E2B"/>
    <w:rsid w:val="00FC40F9"/>
    <w:rsid w:val="00FD175D"/>
    <w:rsid w:val="00FE6EDE"/>
    <w:rsid w:val="00FE7590"/>
    <w:rsid w:val="00FE7980"/>
    <w:rsid w:val="00FF3887"/>
    <w:rsid w:val="00FF7D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9AFDF6F"/>
  <w15:docId w15:val="{06FDBDFD-4507-4D93-BE26-D91BCEB3D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102E"/>
    <w:pPr>
      <w:spacing w:before="60" w:line="260" w:lineRule="atLeast"/>
    </w:pPr>
    <w:rPr>
      <w:rFonts w:ascii="Arial" w:hAnsi="Arial" w:cs="Arial"/>
      <w:sz w:val="22"/>
      <w:lang w:val="cs-CZ"/>
    </w:rPr>
  </w:style>
  <w:style w:type="paragraph" w:styleId="Nadpis1">
    <w:name w:val="heading 1"/>
    <w:basedOn w:val="Normln"/>
    <w:next w:val="Normln"/>
    <w:qFormat/>
    <w:rsid w:val="00C807E8"/>
    <w:pPr>
      <w:keepNext/>
      <w:numPr>
        <w:numId w:val="1"/>
      </w:numPr>
      <w:spacing w:line="240" w:lineRule="auto"/>
      <w:outlineLvl w:val="0"/>
    </w:pPr>
    <w:rPr>
      <w:b/>
      <w:sz w:val="28"/>
    </w:rPr>
  </w:style>
  <w:style w:type="paragraph" w:styleId="Nadpis2">
    <w:name w:val="heading 2"/>
    <w:basedOn w:val="Normln"/>
    <w:next w:val="Normln"/>
    <w:qFormat/>
    <w:rsid w:val="00C807E8"/>
    <w:pPr>
      <w:keepNext/>
      <w:numPr>
        <w:ilvl w:val="1"/>
        <w:numId w:val="1"/>
      </w:numPr>
      <w:spacing w:before="120" w:line="240" w:lineRule="auto"/>
      <w:outlineLvl w:val="1"/>
    </w:pPr>
    <w:rPr>
      <w:b/>
      <w:sz w:val="24"/>
    </w:rPr>
  </w:style>
  <w:style w:type="paragraph" w:styleId="Nadpis3">
    <w:name w:val="heading 3"/>
    <w:basedOn w:val="Normln"/>
    <w:next w:val="Normln"/>
    <w:link w:val="Nadpis3Char"/>
    <w:qFormat/>
    <w:rsid w:val="00D9102E"/>
    <w:pPr>
      <w:keepNext/>
      <w:numPr>
        <w:ilvl w:val="2"/>
        <w:numId w:val="1"/>
      </w:numPr>
      <w:spacing w:before="240" w:line="240" w:lineRule="auto"/>
      <w:outlineLvl w:val="2"/>
    </w:pPr>
    <w:rPr>
      <w:b/>
      <w:i/>
    </w:rPr>
  </w:style>
  <w:style w:type="paragraph" w:styleId="Nadpis4">
    <w:name w:val="heading 4"/>
    <w:basedOn w:val="Normln"/>
    <w:next w:val="Normln"/>
    <w:qFormat/>
    <w:rsid w:val="00C807E8"/>
    <w:pPr>
      <w:keepNext/>
      <w:numPr>
        <w:ilvl w:val="3"/>
        <w:numId w:val="1"/>
      </w:numPr>
      <w:spacing w:line="240" w:lineRule="auto"/>
      <w:outlineLvl w:val="3"/>
    </w:pPr>
    <w:rPr>
      <w:bCs/>
      <w:i/>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Legalcopy">
    <w:name w:val="Legal copy"/>
    <w:basedOn w:val="Base"/>
    <w:pPr>
      <w:spacing w:line="140" w:lineRule="atLeast"/>
    </w:pPr>
    <w:rPr>
      <w:sz w:val="12"/>
    </w:rPr>
  </w:style>
  <w:style w:type="paragraph" w:customStyle="1" w:styleId="Base">
    <w:name w:val="Base"/>
    <w:pPr>
      <w:spacing w:line="200" w:lineRule="atLeast"/>
    </w:pPr>
    <w:rPr>
      <w:rFonts w:ascii="Arial" w:hAnsi="Arial" w:cs="Arial"/>
      <w:sz w:val="16"/>
      <w:lang w:val="cs-CZ"/>
    </w:rPr>
  </w:style>
  <w:style w:type="paragraph" w:customStyle="1" w:styleId="TableLogoText">
    <w:name w:val="Table Logo Text"/>
    <w:basedOn w:val="Base"/>
    <w:pPr>
      <w:spacing w:line="240" w:lineRule="auto"/>
    </w:pPr>
    <w:rPr>
      <w:position w:val="-4"/>
      <w:sz w:val="24"/>
    </w:rPr>
  </w:style>
  <w:style w:type="paragraph" w:customStyle="1" w:styleId="Addressblock">
    <w:name w:val="Address block"/>
    <w:basedOn w:val="Base"/>
    <w:pPr>
      <w:spacing w:line="220" w:lineRule="exact"/>
      <w:ind w:left="6120"/>
    </w:pPr>
  </w:style>
  <w:style w:type="paragraph" w:customStyle="1" w:styleId="LogoHide">
    <w:name w:val="Logo Hide"/>
    <w:basedOn w:val="Base"/>
    <w:next w:val="Base"/>
    <w:pPr>
      <w:spacing w:line="20" w:lineRule="exact"/>
    </w:pPr>
    <w:rPr>
      <w:noProof/>
      <w:sz w:val="2"/>
    </w:rPr>
  </w:style>
  <w:style w:type="paragraph" w:customStyle="1" w:styleId="Filestamp">
    <w:name w:val="Filestamp"/>
    <w:basedOn w:val="Base"/>
    <w:rsid w:val="00121041"/>
    <w:pPr>
      <w:spacing w:line="120" w:lineRule="atLeast"/>
    </w:pPr>
    <w:rPr>
      <w:noProof/>
      <w:sz w:val="12"/>
    </w:rPr>
  </w:style>
  <w:style w:type="paragraph" w:customStyle="1" w:styleId="EmployeeName">
    <w:name w:val="Employee Name"/>
    <w:basedOn w:val="Base"/>
    <w:pPr>
      <w:spacing w:line="220" w:lineRule="exact"/>
      <w:ind w:left="6120"/>
    </w:pPr>
    <w:rPr>
      <w:rFonts w:ascii="Arial Black" w:hAnsi="Arial Black"/>
      <w:sz w:val="17"/>
    </w:rPr>
  </w:style>
  <w:style w:type="paragraph" w:customStyle="1" w:styleId="Address">
    <w:name w:val="Address"/>
    <w:basedOn w:val="Normln"/>
    <w:pPr>
      <w:spacing w:line="300" w:lineRule="exact"/>
    </w:pPr>
  </w:style>
  <w:style w:type="character" w:customStyle="1" w:styleId="TextHide">
    <w:name w:val="Text Hide"/>
    <w:basedOn w:val="Standardnpsmoodstavce"/>
  </w:style>
  <w:style w:type="paragraph" w:styleId="Zhlav">
    <w:name w:val="header"/>
    <w:basedOn w:val="Normln"/>
    <w:pPr>
      <w:tabs>
        <w:tab w:val="center" w:pos="4153"/>
        <w:tab w:val="right" w:pos="8306"/>
      </w:tabs>
    </w:pPr>
  </w:style>
  <w:style w:type="paragraph" w:styleId="Zpat">
    <w:name w:val="footer"/>
    <w:basedOn w:val="Normln"/>
    <w:pPr>
      <w:tabs>
        <w:tab w:val="center" w:pos="4153"/>
        <w:tab w:val="right" w:pos="8306"/>
      </w:tabs>
    </w:pPr>
  </w:style>
  <w:style w:type="paragraph" w:customStyle="1" w:styleId="AddresseeInfo">
    <w:name w:val="Addressee Info"/>
    <w:basedOn w:val="Base"/>
    <w:rsid w:val="00A725C3"/>
    <w:rPr>
      <w:caps/>
      <w:noProof/>
    </w:rPr>
  </w:style>
  <w:style w:type="paragraph" w:customStyle="1" w:styleId="DocumentName">
    <w:name w:val="Document Name"/>
    <w:basedOn w:val="Base"/>
    <w:next w:val="Normln"/>
    <w:rsid w:val="00121041"/>
    <w:pPr>
      <w:spacing w:after="60" w:line="240" w:lineRule="auto"/>
    </w:pPr>
    <w:rPr>
      <w:caps/>
      <w:sz w:val="36"/>
    </w:rPr>
  </w:style>
  <w:style w:type="paragraph" w:customStyle="1" w:styleId="BaseBold">
    <w:name w:val="Base Bold"/>
    <w:next w:val="Base"/>
    <w:rsid w:val="00C807E8"/>
    <w:pPr>
      <w:spacing w:line="200" w:lineRule="atLeast"/>
    </w:pPr>
    <w:rPr>
      <w:rFonts w:ascii="Arial" w:hAnsi="Arial" w:cs="Arial"/>
      <w:b/>
      <w:sz w:val="16"/>
      <w:lang w:val="cs-CZ"/>
    </w:rPr>
  </w:style>
  <w:style w:type="paragraph" w:customStyle="1" w:styleId="LogoHide2">
    <w:name w:val="Logo Hide 2"/>
    <w:basedOn w:val="Base"/>
    <w:next w:val="Base"/>
    <w:rsid w:val="00C807E8"/>
    <w:rPr>
      <w:noProof/>
    </w:rPr>
  </w:style>
  <w:style w:type="paragraph" w:styleId="Seznamsodrkami">
    <w:name w:val="List Bullet"/>
    <w:basedOn w:val="Normln"/>
    <w:rsid w:val="00C807E8"/>
    <w:pPr>
      <w:numPr>
        <w:ilvl w:val="4"/>
        <w:numId w:val="2"/>
      </w:numPr>
      <w:outlineLvl w:val="4"/>
    </w:pPr>
  </w:style>
  <w:style w:type="paragraph" w:styleId="Seznamsodrkami2">
    <w:name w:val="List Bullet 2"/>
    <w:basedOn w:val="Normln"/>
    <w:rsid w:val="00C807E8"/>
    <w:pPr>
      <w:numPr>
        <w:ilvl w:val="5"/>
        <w:numId w:val="2"/>
      </w:numPr>
      <w:outlineLvl w:val="5"/>
    </w:pPr>
  </w:style>
  <w:style w:type="paragraph" w:styleId="Seznamsodrkami3">
    <w:name w:val="List Bullet 3"/>
    <w:basedOn w:val="Normln"/>
    <w:rsid w:val="00C807E8"/>
    <w:pPr>
      <w:numPr>
        <w:ilvl w:val="6"/>
        <w:numId w:val="2"/>
      </w:numPr>
      <w:outlineLvl w:val="6"/>
    </w:pPr>
  </w:style>
  <w:style w:type="paragraph" w:styleId="Seznamsodrkami4">
    <w:name w:val="List Bullet 4"/>
    <w:basedOn w:val="Normln"/>
    <w:rsid w:val="00C807E8"/>
    <w:pPr>
      <w:numPr>
        <w:ilvl w:val="7"/>
        <w:numId w:val="2"/>
      </w:numPr>
      <w:outlineLvl w:val="7"/>
    </w:pPr>
  </w:style>
  <w:style w:type="paragraph" w:customStyle="1" w:styleId="TableBullet1">
    <w:name w:val="Table Bullet 1"/>
    <w:basedOn w:val="Normln"/>
    <w:rsid w:val="00C807E8"/>
    <w:pPr>
      <w:numPr>
        <w:ilvl w:val="4"/>
        <w:numId w:val="3"/>
      </w:numPr>
      <w:spacing w:before="40" w:after="40" w:line="240" w:lineRule="auto"/>
      <w:outlineLvl w:val="4"/>
    </w:pPr>
    <w:rPr>
      <w:sz w:val="20"/>
    </w:rPr>
  </w:style>
  <w:style w:type="paragraph" w:customStyle="1" w:styleId="TableBullet2">
    <w:name w:val="Table Bullet 2"/>
    <w:basedOn w:val="Normln"/>
    <w:rsid w:val="00C807E8"/>
    <w:pPr>
      <w:numPr>
        <w:ilvl w:val="5"/>
        <w:numId w:val="3"/>
      </w:numPr>
      <w:spacing w:before="40" w:after="40" w:line="240" w:lineRule="auto"/>
      <w:outlineLvl w:val="5"/>
    </w:pPr>
    <w:rPr>
      <w:sz w:val="20"/>
    </w:rPr>
  </w:style>
  <w:style w:type="paragraph" w:customStyle="1" w:styleId="TableBullet3">
    <w:name w:val="Table Bullet 3"/>
    <w:basedOn w:val="Normln"/>
    <w:rsid w:val="00C807E8"/>
    <w:pPr>
      <w:numPr>
        <w:ilvl w:val="6"/>
        <w:numId w:val="3"/>
      </w:numPr>
      <w:spacing w:before="40" w:after="40" w:line="240" w:lineRule="auto"/>
      <w:outlineLvl w:val="6"/>
    </w:pPr>
    <w:rPr>
      <w:sz w:val="20"/>
    </w:rPr>
  </w:style>
  <w:style w:type="paragraph" w:customStyle="1" w:styleId="TableBullet4">
    <w:name w:val="Table Bullet 4"/>
    <w:basedOn w:val="Normln"/>
    <w:rsid w:val="00C807E8"/>
    <w:pPr>
      <w:numPr>
        <w:ilvl w:val="7"/>
        <w:numId w:val="3"/>
      </w:numPr>
      <w:spacing w:before="40" w:after="40" w:line="240" w:lineRule="auto"/>
      <w:outlineLvl w:val="7"/>
    </w:pPr>
    <w:rPr>
      <w:sz w:val="20"/>
    </w:rPr>
  </w:style>
  <w:style w:type="paragraph" w:styleId="slovanseznam">
    <w:name w:val="List Number"/>
    <w:basedOn w:val="Normln"/>
    <w:rsid w:val="00C807E8"/>
    <w:pPr>
      <w:numPr>
        <w:ilvl w:val="5"/>
        <w:numId w:val="4"/>
      </w:numPr>
      <w:outlineLvl w:val="5"/>
    </w:pPr>
  </w:style>
  <w:style w:type="paragraph" w:styleId="slovanseznam2">
    <w:name w:val="List Number 2"/>
    <w:basedOn w:val="Normln"/>
    <w:rsid w:val="00D9102E"/>
    <w:pPr>
      <w:numPr>
        <w:ilvl w:val="6"/>
        <w:numId w:val="4"/>
      </w:numPr>
      <w:spacing w:before="0"/>
      <w:ind w:left="714" w:hanging="357"/>
      <w:outlineLvl w:val="6"/>
    </w:pPr>
  </w:style>
  <w:style w:type="paragraph" w:styleId="slovanseznam3">
    <w:name w:val="List Number 3"/>
    <w:basedOn w:val="Normln"/>
    <w:rsid w:val="00C807E8"/>
    <w:pPr>
      <w:numPr>
        <w:ilvl w:val="7"/>
        <w:numId w:val="4"/>
      </w:numPr>
      <w:outlineLvl w:val="7"/>
    </w:pPr>
  </w:style>
  <w:style w:type="paragraph" w:styleId="slovanseznam4">
    <w:name w:val="List Number 4"/>
    <w:basedOn w:val="Normln"/>
    <w:rsid w:val="00C807E8"/>
    <w:pPr>
      <w:numPr>
        <w:ilvl w:val="8"/>
        <w:numId w:val="4"/>
      </w:numPr>
      <w:outlineLvl w:val="8"/>
    </w:pPr>
  </w:style>
  <w:style w:type="paragraph" w:customStyle="1" w:styleId="NormalIndent1">
    <w:name w:val="Normal Indent 1"/>
    <w:basedOn w:val="Normln"/>
    <w:rsid w:val="00C807E8"/>
    <w:pPr>
      <w:ind w:left="360"/>
    </w:pPr>
  </w:style>
  <w:style w:type="paragraph" w:customStyle="1" w:styleId="NormalIndent2">
    <w:name w:val="Normal Indent 2"/>
    <w:basedOn w:val="Normln"/>
    <w:rsid w:val="00C807E8"/>
    <w:pPr>
      <w:ind w:left="720"/>
    </w:pPr>
  </w:style>
  <w:style w:type="paragraph" w:customStyle="1" w:styleId="NormalIndent3">
    <w:name w:val="Normal Indent 3"/>
    <w:basedOn w:val="Normln"/>
    <w:rsid w:val="00C807E8"/>
    <w:pPr>
      <w:ind w:left="1080"/>
    </w:pPr>
  </w:style>
  <w:style w:type="paragraph" w:customStyle="1" w:styleId="NormalIndent4">
    <w:name w:val="Normal Indent 4"/>
    <w:basedOn w:val="Normln"/>
    <w:rsid w:val="00C807E8"/>
    <w:pPr>
      <w:ind w:left="1440"/>
    </w:pPr>
  </w:style>
  <w:style w:type="paragraph" w:customStyle="1" w:styleId="TableHeadingText">
    <w:name w:val="Table Heading Text"/>
    <w:basedOn w:val="Normln"/>
    <w:rsid w:val="00C807E8"/>
    <w:pPr>
      <w:keepNext/>
      <w:spacing w:before="40" w:after="40" w:line="240" w:lineRule="auto"/>
    </w:pPr>
    <w:rPr>
      <w:b/>
      <w:sz w:val="18"/>
    </w:rPr>
  </w:style>
  <w:style w:type="paragraph" w:customStyle="1" w:styleId="TableText">
    <w:name w:val="Table Text"/>
    <w:basedOn w:val="Normln"/>
    <w:rsid w:val="00C807E8"/>
    <w:pPr>
      <w:spacing w:before="40" w:after="40" w:line="240" w:lineRule="auto"/>
    </w:pPr>
    <w:rPr>
      <w:sz w:val="20"/>
    </w:rPr>
  </w:style>
  <w:style w:type="paragraph" w:customStyle="1" w:styleId="HeadingNumber1">
    <w:name w:val="Heading Number 1"/>
    <w:basedOn w:val="Normln"/>
    <w:next w:val="NormalIndent2"/>
    <w:rsid w:val="00C807E8"/>
    <w:pPr>
      <w:keepNext/>
      <w:numPr>
        <w:ilvl w:val="4"/>
        <w:numId w:val="5"/>
      </w:numPr>
      <w:spacing w:line="240" w:lineRule="auto"/>
      <w:outlineLvl w:val="4"/>
    </w:pPr>
    <w:rPr>
      <w:b/>
      <w:sz w:val="24"/>
    </w:rPr>
  </w:style>
  <w:style w:type="paragraph" w:customStyle="1" w:styleId="HeadingNumber2">
    <w:name w:val="Heading Number 2"/>
    <w:basedOn w:val="Normln"/>
    <w:next w:val="NormalIndent2"/>
    <w:rsid w:val="00C807E8"/>
    <w:pPr>
      <w:keepNext/>
      <w:numPr>
        <w:ilvl w:val="5"/>
        <w:numId w:val="5"/>
      </w:numPr>
      <w:spacing w:line="240" w:lineRule="auto"/>
      <w:outlineLvl w:val="5"/>
    </w:pPr>
    <w:rPr>
      <w:sz w:val="24"/>
    </w:rPr>
  </w:style>
  <w:style w:type="paragraph" w:customStyle="1" w:styleId="HeadingNumber3">
    <w:name w:val="Heading Number 3"/>
    <w:basedOn w:val="Normln"/>
    <w:next w:val="NormalIndent2"/>
    <w:rsid w:val="00C807E8"/>
    <w:pPr>
      <w:keepNext/>
      <w:numPr>
        <w:ilvl w:val="6"/>
        <w:numId w:val="5"/>
      </w:numPr>
      <w:spacing w:line="240" w:lineRule="auto"/>
      <w:outlineLvl w:val="6"/>
    </w:pPr>
    <w:rPr>
      <w:b/>
      <w:sz w:val="20"/>
    </w:rPr>
  </w:style>
  <w:style w:type="paragraph" w:customStyle="1" w:styleId="HeadingNumber4">
    <w:name w:val="Heading Number 4"/>
    <w:basedOn w:val="Normln"/>
    <w:next w:val="NormalIndent2"/>
    <w:rsid w:val="00C807E8"/>
    <w:pPr>
      <w:keepNext/>
      <w:numPr>
        <w:ilvl w:val="7"/>
        <w:numId w:val="5"/>
      </w:numPr>
      <w:spacing w:line="240" w:lineRule="auto"/>
      <w:outlineLvl w:val="7"/>
    </w:pPr>
    <w:rPr>
      <w:sz w:val="20"/>
    </w:rPr>
  </w:style>
  <w:style w:type="paragraph" w:styleId="Textbubliny">
    <w:name w:val="Balloon Text"/>
    <w:basedOn w:val="Normln"/>
    <w:semiHidden/>
    <w:rsid w:val="00DA71DA"/>
    <w:rPr>
      <w:rFonts w:ascii="Tahoma" w:hAnsi="Tahoma" w:cs="Tahoma"/>
      <w:sz w:val="16"/>
      <w:szCs w:val="16"/>
    </w:rPr>
  </w:style>
  <w:style w:type="character" w:customStyle="1" w:styleId="Heading5Char">
    <w:name w:val="Heading 5 Char"/>
    <w:aliases w:val="Level 3 - i Char,test Char,h5 Char,Lev 5 Char,s Char,Heading 5* Char,H5 Char,FMH1 Char,Appendix A to X Char,ITT t5 Char,PA Pico Section Char,Second Subheading Char,Heading 5 Char1 Char,Heading 5 Char Char Char,Heading 5 Char Char1 Char"/>
    <w:basedOn w:val="Standardnpsmoodstavce"/>
    <w:link w:val="Nadpis51"/>
    <w:locked/>
    <w:rsid w:val="004F66F0"/>
    <w:rPr>
      <w:lang w:eastAsia="zh-CN"/>
    </w:rPr>
  </w:style>
  <w:style w:type="paragraph" w:customStyle="1" w:styleId="Nadpis51">
    <w:name w:val="Nadpis 51"/>
    <w:aliases w:val="Level 3 - i,test,h5,Lev 5,s,Heading 5*,H5,FMH1,Appendix A to X,ITT t5,PA Pico Section,Second Subheading,Heading 5 Char1,Heading 5 Char Char,Heading 5 Char1 Char Char,Heading 5 Char Char Char Char,Heading 5 Char Char1,Nagłówek 5,Appendix,5,leve"/>
    <w:basedOn w:val="Normln"/>
    <w:link w:val="Heading5Char"/>
    <w:rsid w:val="004F66F0"/>
    <w:pPr>
      <w:spacing w:before="0" w:after="240" w:line="360" w:lineRule="auto"/>
      <w:ind w:left="3600" w:hanging="720"/>
      <w:jc w:val="both"/>
    </w:pPr>
    <w:rPr>
      <w:rFonts w:ascii="Times New Roman" w:hAnsi="Times New Roman" w:cs="Times New Roman"/>
      <w:sz w:val="20"/>
      <w:lang w:val="en-US" w:eastAsia="zh-CN"/>
    </w:rPr>
  </w:style>
  <w:style w:type="paragraph" w:customStyle="1" w:styleId="NumberHeading6">
    <w:name w:val="Number Heading 6"/>
    <w:basedOn w:val="Normln"/>
    <w:rsid w:val="004F66F0"/>
    <w:pPr>
      <w:numPr>
        <w:ilvl w:val="5"/>
        <w:numId w:val="7"/>
      </w:numPr>
      <w:spacing w:before="0" w:line="230" w:lineRule="atLeast"/>
    </w:pPr>
    <w:rPr>
      <w:rFonts w:asciiTheme="minorHAnsi" w:eastAsiaTheme="minorHAnsi" w:hAnsiTheme="minorHAnsi" w:cstheme="minorBidi"/>
      <w:noProof/>
      <w:sz w:val="18"/>
      <w:szCs w:val="22"/>
      <w:lang w:val="fr-CH"/>
    </w:rPr>
  </w:style>
  <w:style w:type="paragraph" w:customStyle="1" w:styleId="NumberHeading1">
    <w:name w:val="Number Heading 1"/>
    <w:basedOn w:val="Normln"/>
    <w:qFormat/>
    <w:rsid w:val="004F66F0"/>
    <w:pPr>
      <w:numPr>
        <w:numId w:val="7"/>
      </w:numPr>
      <w:pBdr>
        <w:bottom w:val="single" w:sz="4" w:space="1" w:color="4BACC6" w:themeColor="accent5"/>
      </w:pBdr>
      <w:spacing w:before="360" w:after="180" w:line="230" w:lineRule="atLeast"/>
    </w:pPr>
    <w:rPr>
      <w:rFonts w:asciiTheme="minorHAnsi" w:eastAsiaTheme="minorHAnsi" w:hAnsiTheme="minorHAnsi" w:cstheme="minorBidi"/>
      <w:noProof/>
      <w:sz w:val="25"/>
      <w:szCs w:val="25"/>
      <w:lang w:val="en-US"/>
    </w:rPr>
  </w:style>
  <w:style w:type="paragraph" w:customStyle="1" w:styleId="NumberHeading2">
    <w:name w:val="Number Heading 2"/>
    <w:basedOn w:val="Normln"/>
    <w:rsid w:val="004F66F0"/>
    <w:pPr>
      <w:numPr>
        <w:ilvl w:val="1"/>
        <w:numId w:val="7"/>
      </w:numPr>
      <w:spacing w:before="180" w:line="230" w:lineRule="atLeast"/>
    </w:pPr>
    <w:rPr>
      <w:rFonts w:asciiTheme="minorHAnsi" w:eastAsiaTheme="minorHAnsi" w:hAnsiTheme="minorHAnsi" w:cstheme="minorBidi"/>
      <w:noProof/>
      <w:sz w:val="18"/>
      <w:szCs w:val="22"/>
      <w:lang w:val="en-US"/>
    </w:rPr>
  </w:style>
  <w:style w:type="paragraph" w:customStyle="1" w:styleId="NumberHeading3">
    <w:name w:val="Number Heading 3"/>
    <w:basedOn w:val="Normln"/>
    <w:rsid w:val="004F66F0"/>
    <w:pPr>
      <w:numPr>
        <w:ilvl w:val="2"/>
        <w:numId w:val="7"/>
      </w:numPr>
      <w:spacing w:before="0" w:line="230" w:lineRule="atLeast"/>
    </w:pPr>
    <w:rPr>
      <w:rFonts w:asciiTheme="minorHAnsi" w:eastAsiaTheme="minorHAnsi" w:hAnsiTheme="minorHAnsi" w:cstheme="minorBidi"/>
      <w:noProof/>
      <w:sz w:val="18"/>
      <w:szCs w:val="22"/>
      <w:lang w:val="en-US"/>
    </w:rPr>
  </w:style>
  <w:style w:type="paragraph" w:customStyle="1" w:styleId="NumberHeading4">
    <w:name w:val="Number Heading 4"/>
    <w:basedOn w:val="Normln"/>
    <w:rsid w:val="004F66F0"/>
    <w:pPr>
      <w:numPr>
        <w:ilvl w:val="3"/>
        <w:numId w:val="7"/>
      </w:numPr>
      <w:spacing w:before="0" w:line="230" w:lineRule="atLeast"/>
    </w:pPr>
    <w:rPr>
      <w:rFonts w:asciiTheme="minorHAnsi" w:eastAsiaTheme="minorHAnsi" w:hAnsiTheme="minorHAnsi" w:cstheme="minorBidi"/>
      <w:noProof/>
      <w:sz w:val="18"/>
      <w:szCs w:val="22"/>
      <w:lang w:val="en-US"/>
    </w:rPr>
  </w:style>
  <w:style w:type="numbering" w:customStyle="1" w:styleId="ChubbNumberList2">
    <w:name w:val="Chubb Number List 2"/>
    <w:uiPriority w:val="99"/>
    <w:rsid w:val="004F66F0"/>
    <w:pPr>
      <w:numPr>
        <w:numId w:val="6"/>
      </w:numPr>
    </w:pPr>
  </w:style>
  <w:style w:type="paragraph" w:customStyle="1" w:styleId="NumberHeading5">
    <w:name w:val="Number Heading 5"/>
    <w:rsid w:val="004F66F0"/>
    <w:pPr>
      <w:numPr>
        <w:ilvl w:val="4"/>
        <w:numId w:val="7"/>
      </w:numPr>
      <w:spacing w:line="230" w:lineRule="atLeast"/>
    </w:pPr>
    <w:rPr>
      <w:rFonts w:asciiTheme="minorHAnsi" w:eastAsiaTheme="minorHAnsi" w:hAnsiTheme="minorHAnsi" w:cstheme="minorBidi"/>
      <w:noProof/>
      <w:sz w:val="18"/>
      <w:szCs w:val="25"/>
    </w:rPr>
  </w:style>
  <w:style w:type="paragraph" w:customStyle="1" w:styleId="NumberHeading7">
    <w:name w:val="Number Heading 7"/>
    <w:basedOn w:val="Normln"/>
    <w:rsid w:val="004F66F0"/>
    <w:pPr>
      <w:numPr>
        <w:ilvl w:val="6"/>
        <w:numId w:val="7"/>
      </w:numPr>
      <w:spacing w:before="0" w:line="230" w:lineRule="atLeast"/>
    </w:pPr>
    <w:rPr>
      <w:rFonts w:asciiTheme="minorHAnsi" w:eastAsiaTheme="minorHAnsi" w:hAnsiTheme="minorHAnsi" w:cstheme="minorBidi"/>
      <w:noProof/>
      <w:sz w:val="18"/>
      <w:szCs w:val="22"/>
      <w:lang w:val="fr-CH"/>
    </w:rPr>
  </w:style>
  <w:style w:type="paragraph" w:styleId="Odstavecseseznamem">
    <w:name w:val="List Paragraph"/>
    <w:basedOn w:val="Normln"/>
    <w:uiPriority w:val="34"/>
    <w:qFormat/>
    <w:rsid w:val="007A35AE"/>
    <w:pPr>
      <w:spacing w:before="0" w:line="240" w:lineRule="auto"/>
      <w:ind w:left="720"/>
    </w:pPr>
    <w:rPr>
      <w:rFonts w:ascii="Calibri" w:eastAsiaTheme="minorHAnsi" w:hAnsi="Calibri" w:cs="Calibri"/>
      <w:szCs w:val="22"/>
      <w:lang w:eastAsia="cs-CZ"/>
    </w:rPr>
  </w:style>
  <w:style w:type="paragraph" w:customStyle="1" w:styleId="MultilineList-Numerical">
    <w:name w:val="Multiline List - Numerical"/>
    <w:basedOn w:val="Normln"/>
    <w:qFormat/>
    <w:rsid w:val="003325E8"/>
    <w:pPr>
      <w:numPr>
        <w:numId w:val="8"/>
      </w:numPr>
      <w:spacing w:before="0" w:after="160"/>
      <w:jc w:val="both"/>
    </w:pPr>
    <w:rPr>
      <w:sz w:val="18"/>
      <w:lang w:val="en-GB"/>
    </w:rPr>
  </w:style>
  <w:style w:type="character" w:styleId="Odkaznakoment">
    <w:name w:val="annotation reference"/>
    <w:basedOn w:val="Standardnpsmoodstavce"/>
    <w:rsid w:val="008031BC"/>
    <w:rPr>
      <w:sz w:val="16"/>
      <w:szCs w:val="16"/>
    </w:rPr>
  </w:style>
  <w:style w:type="paragraph" w:styleId="Textkomente">
    <w:name w:val="annotation text"/>
    <w:basedOn w:val="Normln"/>
    <w:link w:val="TextkomenteChar"/>
    <w:rsid w:val="008031BC"/>
    <w:pPr>
      <w:spacing w:line="240" w:lineRule="auto"/>
    </w:pPr>
    <w:rPr>
      <w:sz w:val="20"/>
    </w:rPr>
  </w:style>
  <w:style w:type="character" w:customStyle="1" w:styleId="TextkomenteChar">
    <w:name w:val="Text komentáře Char"/>
    <w:basedOn w:val="Standardnpsmoodstavce"/>
    <w:link w:val="Textkomente"/>
    <w:rsid w:val="008031BC"/>
    <w:rPr>
      <w:rFonts w:ascii="Arial" w:hAnsi="Arial" w:cs="Arial"/>
      <w:lang w:val="cs-CZ"/>
    </w:rPr>
  </w:style>
  <w:style w:type="paragraph" w:styleId="Pedmtkomente">
    <w:name w:val="annotation subject"/>
    <w:basedOn w:val="Textkomente"/>
    <w:next w:val="Textkomente"/>
    <w:link w:val="PedmtkomenteChar"/>
    <w:rsid w:val="008031BC"/>
    <w:rPr>
      <w:b/>
      <w:bCs/>
    </w:rPr>
  </w:style>
  <w:style w:type="character" w:customStyle="1" w:styleId="PedmtkomenteChar">
    <w:name w:val="Předmět komentáře Char"/>
    <w:basedOn w:val="TextkomenteChar"/>
    <w:link w:val="Pedmtkomente"/>
    <w:rsid w:val="008031BC"/>
    <w:rPr>
      <w:rFonts w:ascii="Arial" w:hAnsi="Arial" w:cs="Arial"/>
      <w:b/>
      <w:bCs/>
      <w:lang w:val="cs-CZ"/>
    </w:rPr>
  </w:style>
  <w:style w:type="character" w:customStyle="1" w:styleId="Nadpis3Char">
    <w:name w:val="Nadpis 3 Char"/>
    <w:basedOn w:val="Standardnpsmoodstavce"/>
    <w:link w:val="Nadpis3"/>
    <w:rsid w:val="00D2399D"/>
    <w:rPr>
      <w:rFonts w:ascii="Arial" w:hAnsi="Arial" w:cs="Arial"/>
      <w:b/>
      <w:i/>
      <w:sz w:val="22"/>
      <w:lang w:val="cs-CZ"/>
    </w:rPr>
  </w:style>
  <w:style w:type="paragraph" w:styleId="Zkladntext">
    <w:name w:val="Body Text"/>
    <w:aliases w:val="Smlouva,Základní text1,Základní text Char11,Základní text Char Char1,Základní text Char1 Char Char1,Základní text Char Char Char Char1,Základní text Char1 Char Char Char Char1,Základní text Char Char Char Char Char Char1"/>
    <w:basedOn w:val="Normln"/>
    <w:link w:val="ZkladntextChar"/>
    <w:rsid w:val="008C5B4A"/>
    <w:pPr>
      <w:widowControl w:val="0"/>
      <w:spacing w:before="20" w:after="20" w:line="240" w:lineRule="auto"/>
      <w:ind w:left="907"/>
      <w:jc w:val="both"/>
    </w:pPr>
    <w:rPr>
      <w:rFonts w:cs="Times New Roman"/>
      <w:snapToGrid w:val="0"/>
      <w:color w:val="000000"/>
      <w:lang w:eastAsia="cs-CZ"/>
    </w:rPr>
  </w:style>
  <w:style w:type="character" w:customStyle="1" w:styleId="ZkladntextChar">
    <w:name w:val="Základní text Char"/>
    <w:aliases w:val="Smlouva Char,Základní text1 Char,Základní text Char11 Char,Základní text Char Char1 Char,Základní text Char1 Char Char1 Char,Základní text Char Char Char Char1 Char,Základní text Char1 Char Char Char Char1 Char"/>
    <w:basedOn w:val="Standardnpsmoodstavce"/>
    <w:link w:val="Zkladntext"/>
    <w:rsid w:val="008C5B4A"/>
    <w:rPr>
      <w:rFonts w:ascii="Arial" w:hAnsi="Arial"/>
      <w:snapToGrid w:val="0"/>
      <w:color w:val="000000"/>
      <w:sz w:val="22"/>
      <w:lang w:val="cs-CZ" w:eastAsia="cs-CZ"/>
    </w:rPr>
  </w:style>
  <w:style w:type="paragraph" w:customStyle="1" w:styleId="Textdoloky">
    <w:name w:val="Text doložky"/>
    <w:basedOn w:val="Prosttext"/>
    <w:rsid w:val="008C5B4A"/>
    <w:pPr>
      <w:widowControl w:val="0"/>
      <w:spacing w:before="20" w:after="60"/>
      <w:ind w:left="1701"/>
      <w:jc w:val="both"/>
    </w:pPr>
    <w:rPr>
      <w:rFonts w:ascii="Arial" w:hAnsi="Arial" w:cs="Times New Roman"/>
      <w:snapToGrid w:val="0"/>
      <w:color w:val="000000"/>
      <w:sz w:val="24"/>
      <w:szCs w:val="20"/>
      <w:lang w:eastAsia="cs-CZ"/>
    </w:rPr>
  </w:style>
  <w:style w:type="paragraph" w:styleId="Prosttext">
    <w:name w:val="Plain Text"/>
    <w:basedOn w:val="Normln"/>
    <w:link w:val="ProsttextChar"/>
    <w:rsid w:val="008C5B4A"/>
    <w:pPr>
      <w:spacing w:before="0" w:line="240" w:lineRule="auto"/>
    </w:pPr>
    <w:rPr>
      <w:rFonts w:ascii="Consolas" w:hAnsi="Consolas"/>
      <w:sz w:val="21"/>
      <w:szCs w:val="21"/>
    </w:rPr>
  </w:style>
  <w:style w:type="character" w:customStyle="1" w:styleId="ProsttextChar">
    <w:name w:val="Prostý text Char"/>
    <w:basedOn w:val="Standardnpsmoodstavce"/>
    <w:link w:val="Prosttext"/>
    <w:rsid w:val="008C5B4A"/>
    <w:rPr>
      <w:rFonts w:ascii="Consolas" w:hAnsi="Consolas" w:cs="Arial"/>
      <w:sz w:val="21"/>
      <w:szCs w:val="21"/>
      <w:lang w:val="cs-CZ"/>
    </w:rPr>
  </w:style>
  <w:style w:type="paragraph" w:customStyle="1" w:styleId="l5">
    <w:name w:val="l5"/>
    <w:basedOn w:val="Normln"/>
    <w:rsid w:val="00FE7590"/>
    <w:pPr>
      <w:spacing w:before="100" w:beforeAutospacing="1" w:after="100" w:afterAutospacing="1" w:line="240" w:lineRule="auto"/>
    </w:pPr>
    <w:rPr>
      <w:rFonts w:ascii="Times New Roman" w:hAnsi="Times New Roman" w:cs="Times New Roman"/>
      <w:sz w:val="24"/>
      <w:szCs w:val="24"/>
      <w:lang w:eastAsia="cs-CZ"/>
    </w:rPr>
  </w:style>
  <w:style w:type="paragraph" w:customStyle="1" w:styleId="l6">
    <w:name w:val="l6"/>
    <w:basedOn w:val="Normln"/>
    <w:rsid w:val="00FE7590"/>
    <w:pPr>
      <w:spacing w:before="100" w:beforeAutospacing="1" w:after="100" w:afterAutospacing="1" w:line="240" w:lineRule="auto"/>
    </w:pPr>
    <w:rPr>
      <w:rFonts w:ascii="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33302">
      <w:bodyDiv w:val="1"/>
      <w:marLeft w:val="0"/>
      <w:marRight w:val="0"/>
      <w:marTop w:val="0"/>
      <w:marBottom w:val="0"/>
      <w:divBdr>
        <w:top w:val="none" w:sz="0" w:space="0" w:color="auto"/>
        <w:left w:val="none" w:sz="0" w:space="0" w:color="auto"/>
        <w:bottom w:val="none" w:sz="0" w:space="0" w:color="auto"/>
        <w:right w:val="none" w:sz="0" w:space="0" w:color="auto"/>
      </w:divBdr>
    </w:div>
    <w:div w:id="115023718">
      <w:bodyDiv w:val="1"/>
      <w:marLeft w:val="0"/>
      <w:marRight w:val="0"/>
      <w:marTop w:val="0"/>
      <w:marBottom w:val="0"/>
      <w:divBdr>
        <w:top w:val="none" w:sz="0" w:space="0" w:color="auto"/>
        <w:left w:val="none" w:sz="0" w:space="0" w:color="auto"/>
        <w:bottom w:val="none" w:sz="0" w:space="0" w:color="auto"/>
        <w:right w:val="none" w:sz="0" w:space="0" w:color="auto"/>
      </w:divBdr>
    </w:div>
    <w:div w:id="181750211">
      <w:bodyDiv w:val="1"/>
      <w:marLeft w:val="0"/>
      <w:marRight w:val="0"/>
      <w:marTop w:val="0"/>
      <w:marBottom w:val="0"/>
      <w:divBdr>
        <w:top w:val="none" w:sz="0" w:space="0" w:color="auto"/>
        <w:left w:val="none" w:sz="0" w:space="0" w:color="auto"/>
        <w:bottom w:val="none" w:sz="0" w:space="0" w:color="auto"/>
        <w:right w:val="none" w:sz="0" w:space="0" w:color="auto"/>
      </w:divBdr>
    </w:div>
    <w:div w:id="610480439">
      <w:bodyDiv w:val="1"/>
      <w:marLeft w:val="0"/>
      <w:marRight w:val="0"/>
      <w:marTop w:val="0"/>
      <w:marBottom w:val="0"/>
      <w:divBdr>
        <w:top w:val="none" w:sz="0" w:space="0" w:color="auto"/>
        <w:left w:val="none" w:sz="0" w:space="0" w:color="auto"/>
        <w:bottom w:val="none" w:sz="0" w:space="0" w:color="auto"/>
        <w:right w:val="none" w:sz="0" w:space="0" w:color="auto"/>
      </w:divBdr>
    </w:div>
    <w:div w:id="1118572242">
      <w:bodyDiv w:val="1"/>
      <w:marLeft w:val="0"/>
      <w:marRight w:val="0"/>
      <w:marTop w:val="0"/>
      <w:marBottom w:val="0"/>
      <w:divBdr>
        <w:top w:val="none" w:sz="0" w:space="0" w:color="auto"/>
        <w:left w:val="none" w:sz="0" w:space="0" w:color="auto"/>
        <w:bottom w:val="none" w:sz="0" w:space="0" w:color="auto"/>
        <w:right w:val="none" w:sz="0" w:space="0" w:color="auto"/>
      </w:divBdr>
    </w:div>
    <w:div w:id="1205870496">
      <w:bodyDiv w:val="1"/>
      <w:marLeft w:val="0"/>
      <w:marRight w:val="0"/>
      <w:marTop w:val="0"/>
      <w:marBottom w:val="0"/>
      <w:divBdr>
        <w:top w:val="none" w:sz="0" w:space="0" w:color="auto"/>
        <w:left w:val="none" w:sz="0" w:space="0" w:color="auto"/>
        <w:bottom w:val="none" w:sz="0" w:space="0" w:color="auto"/>
        <w:right w:val="none" w:sz="0" w:space="0" w:color="auto"/>
      </w:divBdr>
    </w:div>
    <w:div w:id="1244100757">
      <w:bodyDiv w:val="1"/>
      <w:marLeft w:val="0"/>
      <w:marRight w:val="0"/>
      <w:marTop w:val="0"/>
      <w:marBottom w:val="0"/>
      <w:divBdr>
        <w:top w:val="none" w:sz="0" w:space="0" w:color="auto"/>
        <w:left w:val="none" w:sz="0" w:space="0" w:color="auto"/>
        <w:bottom w:val="none" w:sz="0" w:space="0" w:color="auto"/>
        <w:right w:val="none" w:sz="0" w:space="0" w:color="auto"/>
      </w:divBdr>
    </w:div>
    <w:div w:id="1334796473">
      <w:bodyDiv w:val="1"/>
      <w:marLeft w:val="0"/>
      <w:marRight w:val="0"/>
      <w:marTop w:val="0"/>
      <w:marBottom w:val="0"/>
      <w:divBdr>
        <w:top w:val="none" w:sz="0" w:space="0" w:color="auto"/>
        <w:left w:val="none" w:sz="0" w:space="0" w:color="auto"/>
        <w:bottom w:val="none" w:sz="0" w:space="0" w:color="auto"/>
        <w:right w:val="none" w:sz="0" w:space="0" w:color="auto"/>
      </w:divBdr>
    </w:div>
    <w:div w:id="1776707160">
      <w:bodyDiv w:val="1"/>
      <w:marLeft w:val="0"/>
      <w:marRight w:val="0"/>
      <w:marTop w:val="0"/>
      <w:marBottom w:val="0"/>
      <w:divBdr>
        <w:top w:val="none" w:sz="0" w:space="0" w:color="auto"/>
        <w:left w:val="none" w:sz="0" w:space="0" w:color="auto"/>
        <w:bottom w:val="none" w:sz="0" w:space="0" w:color="auto"/>
        <w:right w:val="none" w:sz="0" w:space="0" w:color="auto"/>
      </w:divBdr>
    </w:div>
    <w:div w:id="1799453907">
      <w:bodyDiv w:val="1"/>
      <w:marLeft w:val="0"/>
      <w:marRight w:val="0"/>
      <w:marTop w:val="0"/>
      <w:marBottom w:val="0"/>
      <w:divBdr>
        <w:top w:val="none" w:sz="0" w:space="0" w:color="auto"/>
        <w:left w:val="none" w:sz="0" w:space="0" w:color="auto"/>
        <w:bottom w:val="none" w:sz="0" w:space="0" w:color="auto"/>
        <w:right w:val="none" w:sz="0" w:space="0" w:color="auto"/>
      </w:divBdr>
    </w:div>
    <w:div w:id="1881934906">
      <w:bodyDiv w:val="1"/>
      <w:marLeft w:val="0"/>
      <w:marRight w:val="0"/>
      <w:marTop w:val="0"/>
      <w:marBottom w:val="0"/>
      <w:divBdr>
        <w:top w:val="none" w:sz="0" w:space="0" w:color="auto"/>
        <w:left w:val="none" w:sz="0" w:space="0" w:color="auto"/>
        <w:bottom w:val="none" w:sz="0" w:space="0" w:color="auto"/>
        <w:right w:val="none" w:sz="0" w:space="0" w:color="auto"/>
      </w:divBdr>
    </w:div>
    <w:div w:id="2038122454">
      <w:bodyDiv w:val="1"/>
      <w:marLeft w:val="0"/>
      <w:marRight w:val="0"/>
      <w:marTop w:val="0"/>
      <w:marBottom w:val="0"/>
      <w:divBdr>
        <w:top w:val="none" w:sz="0" w:space="0" w:color="auto"/>
        <w:left w:val="none" w:sz="0" w:space="0" w:color="auto"/>
        <w:bottom w:val="none" w:sz="0" w:space="0" w:color="auto"/>
        <w:right w:val="none" w:sz="0" w:space="0" w:color="auto"/>
      </w:divBdr>
    </w:div>
    <w:div w:id="21155932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A3DC4-CB2E-4549-8E99-AC95F91B4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3624</Words>
  <Characters>22401</Characters>
  <Application>Microsoft Office Word</Application>
  <DocSecurity>0</DocSecurity>
  <Lines>361</Lines>
  <Paragraphs>142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Formatted Document</vt:lpstr>
      <vt:lpstr>Formatted Document</vt:lpstr>
    </vt:vector>
  </TitlesOfParts>
  <Company>MARSH, s.r.o.</Company>
  <LinksUpToDate>false</LinksUpToDate>
  <CharactersWithSpaces>25900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Formatted Document</dc:title>
  <dc:creator>Dominika Bejrova</dc:creator>
  <dc:description>MMCOA Templates_x000d_
Marsh &amp; McLennan Companies</dc:description>
  <cp:lastModifiedBy>Bilanova, Marketa</cp:lastModifiedBy>
  <cp:revision>15</cp:revision>
  <cp:lastPrinted>2018-08-29T12:53:00Z</cp:lastPrinted>
  <dcterms:created xsi:type="dcterms:W3CDTF">2022-02-04T12:12:00Z</dcterms:created>
  <dcterms:modified xsi:type="dcterms:W3CDTF">2023-07-02T20:06:00Z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MCOA_CurrentPaperSetup">
    <vt:lpwstr>A4</vt:lpwstr>
  </property>
  <property fmtid="{D5CDD505-2E9C-101B-9397-08002B2CF9AE}" pid="3" name="MMCOA_BIC">
    <vt:bool>false</vt:bool>
  </property>
  <property fmtid="{D5CDD505-2E9C-101B-9397-08002B2CF9AE}" pid="4" name="MMCOA_Template">
    <vt:lpwstr>FormattedDocument.dot</vt:lpwstr>
  </property>
  <property fmtid="{D5CDD505-2E9C-101B-9397-08002B2CF9AE}" pid="5" name="MMCOA_PaperResize">
    <vt:lpwstr>Standard</vt:lpwstr>
  </property>
  <property fmtid="{D5CDD505-2E9C-101B-9397-08002B2CF9AE}" pid="6" name="MMCOA_TemplateVersion">
    <vt:lpwstr>5.1</vt:lpwstr>
  </property>
  <property fmtid="{D5CDD505-2E9C-101B-9397-08002B2CF9AE}" pid="7" name="MMCOA_Redate">
    <vt:lpwstr> </vt:lpwstr>
  </property>
  <property fmtid="{D5CDD505-2E9C-101B-9397-08002B2CF9AE}" pid="8" name="MMCOA_UI_Language">
    <vt:lpwstr>en-GB</vt:lpwstr>
  </property>
  <property fmtid="{D5CDD505-2E9C-101B-9397-08002B2CF9AE}" pid="9" name="MMCOA_Language">
    <vt:lpwstr>cs</vt:lpwstr>
  </property>
  <property fmtid="{D5CDD505-2E9C-101B-9397-08002B2CF9AE}" pid="10" name="MMCOA_LanguageDateFormat">
    <vt:lpwstr>d"." MMMM yyyy</vt:lpwstr>
  </property>
  <property fmtid="{D5CDD505-2E9C-101B-9397-08002B2CF9AE}" pid="11" name="MMCOA_CompanyOption">
    <vt:lpwstr>95</vt:lpwstr>
  </property>
  <property fmtid="{D5CDD505-2E9C-101B-9397-08002B2CF9AE}" pid="12" name="MMCOA_BaseStyle">
    <vt:lpwstr>Base</vt:lpwstr>
  </property>
  <property fmtid="{D5CDD505-2E9C-101B-9397-08002B2CF9AE}" pid="13" name="MMCOA_TableStyles">
    <vt:lpwstr>Table Heading Text;Table Text</vt:lpwstr>
  </property>
  <property fmtid="{D5CDD505-2E9C-101B-9397-08002B2CF9AE}" pid="14" name="MMCOA_SuppressLogo">
    <vt:lpwstr>Logo Hide;Logo Hide 2;</vt:lpwstr>
  </property>
  <property fmtid="{D5CDD505-2E9C-101B-9397-08002B2CF9AE}" pid="15" name="MMCOA_SuppressLogoAddress">
    <vt:lpwstr>Logo Hide;Logo Hide 2;Text Hide;</vt:lpwstr>
  </property>
  <property fmtid="{D5CDD505-2E9C-101B-9397-08002B2CF9AE}" pid="16" name="MMCOA_StyleKeyBindings">
    <vt:lpwstr>NormalţHeading 1ţHeading 2ţHeading 3ţList BulletţList Bullet 2ţList Bullet 3ţList Bullet 4ţList NumberţList Number 2ţList Number 3ţList Number 4ţNormal Indent 1ţNormal Indent 2ţNormal Indent 3ţNormal </vt:lpwstr>
  </property>
  <property fmtid="{D5CDD505-2E9C-101B-9397-08002B2CF9AE}" pid="17" name="MMCOA_StyleKeyBindings2">
    <vt:lpwstr>Indent 4ţHeading Number 1ţHeading Number 2ţHeading Number 3ţHeading Number 4</vt:lpwstr>
  </property>
  <property fmtid="{D5CDD505-2E9C-101B-9397-08002B2CF9AE}" pid="18" name="MMCOA_StyleKeyBindingsKeys">
    <vt:lpwstr>846ţ1585ţ1586ţ1587ţ1590ţ1591ţ1592ţ1593ţ1648ţ1649ţ1650ţ1651ţ1653ţ1654ţ1655ţ1656ţ817ţ818ţ819ţ821</vt:lpwstr>
  </property>
  <property fmtid="{D5CDD505-2E9C-101B-9397-08002B2CF9AE}" pid="19" name="MSIP_Label_38f1469a-2c2a-4aee-b92b-090d4c5468ff_Enabled">
    <vt:lpwstr>true</vt:lpwstr>
  </property>
  <property fmtid="{D5CDD505-2E9C-101B-9397-08002B2CF9AE}" pid="20" name="MSIP_Label_38f1469a-2c2a-4aee-b92b-090d4c5468ff_SetDate">
    <vt:lpwstr>2023-07-02T18:07:41Z</vt:lpwstr>
  </property>
  <property fmtid="{D5CDD505-2E9C-101B-9397-08002B2CF9AE}" pid="21" name="MSIP_Label_38f1469a-2c2a-4aee-b92b-090d4c5468ff_Method">
    <vt:lpwstr>Standard</vt:lpwstr>
  </property>
  <property fmtid="{D5CDD505-2E9C-101B-9397-08002B2CF9AE}" pid="22" name="MSIP_Label_38f1469a-2c2a-4aee-b92b-090d4c5468ff_Name">
    <vt:lpwstr>Confidential - Unmarked</vt:lpwstr>
  </property>
  <property fmtid="{D5CDD505-2E9C-101B-9397-08002B2CF9AE}" pid="23" name="MSIP_Label_38f1469a-2c2a-4aee-b92b-090d4c5468ff_SiteId">
    <vt:lpwstr>2a6e6092-73e4-4752-b1a5-477a17f5056d</vt:lpwstr>
  </property>
  <property fmtid="{D5CDD505-2E9C-101B-9397-08002B2CF9AE}" pid="24" name="MSIP_Label_38f1469a-2c2a-4aee-b92b-090d4c5468ff_ActionId">
    <vt:lpwstr>0357f075-8e18-4404-a50b-798a46ed9919</vt:lpwstr>
  </property>
  <property fmtid="{D5CDD505-2E9C-101B-9397-08002B2CF9AE}" pid="25" name="MSIP_Label_38f1469a-2c2a-4aee-b92b-090d4c5468ff_ContentBits">
    <vt:lpwstr>0</vt:lpwstr>
  </property>
</Properties>
</file>