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295" w:rsidRDefault="00600295" w:rsidP="00600295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 xml:space="preserve">OPRAVA PODLAHY VE SPORTOVNÍM CENTRU HOSTIVAŘ, </w:t>
      </w:r>
    </w:p>
    <w:p w:rsidR="00600295" w:rsidRDefault="00600295" w:rsidP="00600295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Bruslařská 1132/10, Praha 10 - víceúčelová sportovní hala</w:t>
      </w: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00295" w:rsidRDefault="00600295" w:rsidP="00600295">
      <w:pPr>
        <w:pStyle w:val="Zkladntex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600295" w:rsidRDefault="00600295" w:rsidP="00600295">
      <w:pPr>
        <w:pStyle w:val="Zkladntext"/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E. ZÁSADY ORGANIZACE VÝSTAVBY</w:t>
      </w: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00295" w:rsidRDefault="00600295" w:rsidP="00600295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březen 201</w:t>
      </w:r>
      <w:r>
        <w:rPr>
          <w:rFonts w:ascii="Calibri" w:hAnsi="Calibri" w:cs="Calibri"/>
          <w:sz w:val="22"/>
          <w:szCs w:val="22"/>
        </w:rPr>
        <w:t>8</w:t>
      </w:r>
    </w:p>
    <w:p w:rsidR="00C453BF" w:rsidRDefault="00C453BF" w:rsidP="00C453BF">
      <w:pPr>
        <w:pStyle w:val="Normlnweb"/>
        <w:spacing w:after="0"/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E.1 TECHNICKÁ ZPRÁVA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E.1.1 INFORMACE O ROZSAHU A STAVU STAVENIŠTĚ, PŘEDPOKLÁDANÉ ÚPRAVY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STAVENIŠTĚ, JEHO OPLOCENÍ, TRVALÉ DEPONIE A MEZIDEPONIE, PŘÍJEZDY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PŘÍSTUPY NA STAVENIŠTĚ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Staveniště se nachází na místě stávajícího objektu. Stávající stavba ani plocha stavby není kulturní památkou, ani se nenachází v památkové rezervaci nebo památkové zóně.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Staveniště nebude oploceno, přístupová plocha k objektu bude vymezena páskou nebo mobilní zábranou.. Přístup na staveniště je zajištěn po místních komunikacích. Staveniště je vymezeno místem realizace.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E.1.2 VÝZNAMNÉ SÍTĚ TECHNICKÉ INFRASTRUKTURY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předmětem.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E.1.3 NAPOJENÍ STAVENIŠTĚ NA ZDROJE VODY, ELEKTŘINY, ODVODNĚNÍ STAVENIŠTĚ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Staveniště bude po dobu výstavby napojeno na stávající zdroj el.energie a vody. Odvodnění staveniště není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navrhováno.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E.1.4 ÚPRAVY Z HLEDISKA BEZPEČNOSTI A OCHRANY ZDRAVÍ TŘETÍCH OSOB, VČETNĚ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NUTNÝCH ÚPRAV PRO OSOBY S OMEZENOU SCHOPNOSTÍ POHYBU A ORIENTACE,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navrhovány.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E.1.5 USPOŘÁDÁNÍ A BEZPEČNOST STAVENIŠTĚ Z HLEDISKA OCHRANY VEŘEJNÝCH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ZÁJMŮ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řešeno.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E.1.6 ŘEŠENÍ ZAŘÍZENÍ STAVENIŠTĚ VČETNĚ VYUŽITÍ NOVÝCH A STÁVAJÍCÍCH OBJEKTŮ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navrženo využití nových ani stávajících objektů.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E.1.7 POPIS STAVEB ZAŘÍZENÍ STAVENIŠTĚ VYŽADUJÍCÍCH OHLÁŠENÍ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E.1.8 STANOVENÍ PODMÍNEK PRO PROVÁDĚNÍ STAVBY Z HLEDISKA BEZPEČNOSTI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OCHRANY ZDRAVÍ, PLÁN BEZPEČNOSTI A OCHRANY ZDRAVÍ PŘI PRÁCI 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STAVENIŠTI PODLE ZÁKONA O ZAJIŠTĚNÍ DALŠÍCH PODMÍNEK BEZPEČNOSTI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OCHRANY ZDRAVÍ PŘI PRÁCI,3)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Stavbu budou provádět pouze proškolení pracovníci dle platných ČSN Bezpečnost a ochrana zdraví při práci 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staveništi. Pracovníci jsou povinni dodržovat veškerá ochranná opatření a ochranné pomůcky.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E.1.9 PODMÍNKY PRO OCHRANU ŽIVOTNÍHO PROSTŘEDÍ PŘI VÝSTAVBĚ,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E.1.10 ORIENTAČNÍ LHŮTY VÝSTAVBY A PŘEHLED ROZHODUJÍCÍCH DÍLČÍCH TERMÍNŮ.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Předpokládá se realizace v jedné etapě v délce trvání 2 měsíce.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E.2 VÝKRESOVÁ ČÁST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zpracovávána.</w:t>
      </w:r>
    </w:p>
    <w:sectPr w:rsidR="00C453BF" w:rsidSect="001B5916">
      <w:footerReference w:type="defaul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C84" w:rsidRDefault="00933C84" w:rsidP="001B5916">
      <w:r>
        <w:separator/>
      </w:r>
    </w:p>
  </w:endnote>
  <w:endnote w:type="continuationSeparator" w:id="0">
    <w:p w:rsidR="00933C84" w:rsidRDefault="00933C84" w:rsidP="001B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766632"/>
      <w:docPartObj>
        <w:docPartGallery w:val="Page Numbers (Bottom of Page)"/>
        <w:docPartUnique/>
      </w:docPartObj>
    </w:sdtPr>
    <w:sdtEndPr/>
    <w:sdtContent>
      <w:p w:rsidR="001B5916" w:rsidRDefault="002C2A2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916" w:rsidRDefault="001B59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C84" w:rsidRDefault="00933C84" w:rsidP="001B5916">
      <w:r>
        <w:separator/>
      </w:r>
    </w:p>
  </w:footnote>
  <w:footnote w:type="continuationSeparator" w:id="0">
    <w:p w:rsidR="00933C84" w:rsidRDefault="00933C84" w:rsidP="001B5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BF"/>
    <w:rsid w:val="001B5916"/>
    <w:rsid w:val="00266338"/>
    <w:rsid w:val="002C2A25"/>
    <w:rsid w:val="00311764"/>
    <w:rsid w:val="00344D41"/>
    <w:rsid w:val="004F10C0"/>
    <w:rsid w:val="005A52C7"/>
    <w:rsid w:val="00600295"/>
    <w:rsid w:val="006F74CA"/>
    <w:rsid w:val="008207B3"/>
    <w:rsid w:val="00933C84"/>
    <w:rsid w:val="00A72DB6"/>
    <w:rsid w:val="00C453BF"/>
    <w:rsid w:val="00C91EB0"/>
    <w:rsid w:val="00D7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1B59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5916"/>
  </w:style>
  <w:style w:type="paragraph" w:styleId="Zpat">
    <w:name w:val="footer"/>
    <w:basedOn w:val="Normln"/>
    <w:link w:val="ZpatChar"/>
    <w:uiPriority w:val="99"/>
    <w:unhideWhenUsed/>
    <w:rsid w:val="001B59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5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1B59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5916"/>
  </w:style>
  <w:style w:type="paragraph" w:styleId="Zpat">
    <w:name w:val="footer"/>
    <w:basedOn w:val="Normln"/>
    <w:link w:val="ZpatChar"/>
    <w:uiPriority w:val="99"/>
    <w:unhideWhenUsed/>
    <w:rsid w:val="001B59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12DFA9BE.dotm</Template>
  <TotalTime>0</TotalTime>
  <Pages>3</Pages>
  <Words>304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Vesely</dc:creator>
  <cp:lastModifiedBy>Marek Buday</cp:lastModifiedBy>
  <cp:revision>2</cp:revision>
  <dcterms:created xsi:type="dcterms:W3CDTF">2018-05-14T12:49:00Z</dcterms:created>
  <dcterms:modified xsi:type="dcterms:W3CDTF">2018-05-14T12:49:00Z</dcterms:modified>
</cp:coreProperties>
</file>