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350C4" w14:textId="469626CE" w:rsidR="00E03B57" w:rsidRPr="000A4227" w:rsidRDefault="0067699C" w:rsidP="00532C2F">
      <w:pPr>
        <w:rPr>
          <w:rFonts w:ascii="Cambria" w:hAnsi="Cambria"/>
          <w:b/>
          <w:bCs/>
        </w:rPr>
      </w:pPr>
      <w:r w:rsidRPr="000A4227">
        <w:rPr>
          <w:rFonts w:ascii="Cambria" w:hAnsi="Cambria"/>
          <w:b/>
        </w:rPr>
        <w:t xml:space="preserve">Název veřejné zakázky: </w:t>
      </w:r>
      <w:proofErr w:type="spellStart"/>
      <w:r w:rsidR="00E63957" w:rsidRPr="000A4227">
        <w:rPr>
          <w:rFonts w:ascii="Cambria" w:hAnsi="Cambria"/>
          <w:b/>
          <w:bCs/>
        </w:rPr>
        <w:t>Needle</w:t>
      </w:r>
      <w:proofErr w:type="spellEnd"/>
      <w:r w:rsidR="00E63957" w:rsidRPr="000A4227">
        <w:rPr>
          <w:rFonts w:ascii="Cambria" w:hAnsi="Cambria"/>
          <w:b/>
          <w:bCs/>
        </w:rPr>
        <w:t xml:space="preserve"> </w:t>
      </w:r>
      <w:proofErr w:type="spellStart"/>
      <w:r w:rsidR="00E63957" w:rsidRPr="000A4227">
        <w:rPr>
          <w:rFonts w:ascii="Cambria" w:hAnsi="Cambria"/>
          <w:b/>
          <w:bCs/>
        </w:rPr>
        <w:t>Trainer</w:t>
      </w:r>
      <w:proofErr w:type="spellEnd"/>
      <w:r w:rsidR="00E63957" w:rsidRPr="000A4227">
        <w:rPr>
          <w:rFonts w:ascii="Cambria" w:hAnsi="Cambria"/>
          <w:b/>
          <w:bCs/>
        </w:rPr>
        <w:t xml:space="preserve"> – výukový simulátor zavádění jehel pomocí ultrazvukové navigace</w:t>
      </w:r>
    </w:p>
    <w:p w14:paraId="367B06E9" w14:textId="295324CF" w:rsidR="0067699C" w:rsidRPr="000A4227" w:rsidRDefault="0067699C" w:rsidP="0067699C">
      <w:pPr>
        <w:rPr>
          <w:rFonts w:ascii="Cambria" w:hAnsi="Cambria"/>
        </w:rPr>
      </w:pPr>
      <w:r w:rsidRPr="000A4227">
        <w:rPr>
          <w:rFonts w:ascii="Cambria" w:hAnsi="Cambria"/>
        </w:rPr>
        <w:t xml:space="preserve">Režim a druh veřejné zakázky: </w:t>
      </w:r>
      <w:r w:rsidR="00A94BC9">
        <w:rPr>
          <w:rFonts w:ascii="Cambria" w:hAnsi="Cambria"/>
        </w:rPr>
        <w:tab/>
        <w:t>Zakázka malého rozsahu</w:t>
      </w:r>
    </w:p>
    <w:p w14:paraId="20C7E13D" w14:textId="2CBB525A" w:rsidR="0067699C" w:rsidRPr="000A4227" w:rsidRDefault="0067699C" w:rsidP="0067699C">
      <w:pPr>
        <w:rPr>
          <w:rFonts w:ascii="Cambria" w:hAnsi="Cambria"/>
        </w:rPr>
      </w:pPr>
      <w:r w:rsidRPr="000A4227">
        <w:rPr>
          <w:rFonts w:ascii="Cambria" w:hAnsi="Cambria"/>
        </w:rPr>
        <w:t xml:space="preserve">Druh výběrového </w:t>
      </w:r>
      <w:proofErr w:type="gramStart"/>
      <w:r w:rsidRPr="000A4227">
        <w:rPr>
          <w:rFonts w:ascii="Cambria" w:hAnsi="Cambria"/>
        </w:rPr>
        <w:t xml:space="preserve">řízení:  </w:t>
      </w:r>
      <w:r w:rsidR="00A94BC9">
        <w:rPr>
          <w:rFonts w:ascii="Cambria" w:hAnsi="Cambria"/>
        </w:rPr>
        <w:tab/>
      </w:r>
      <w:proofErr w:type="gramEnd"/>
      <w:r w:rsidR="00A94BC9">
        <w:rPr>
          <w:rFonts w:ascii="Cambria" w:hAnsi="Cambria"/>
        </w:rPr>
        <w:tab/>
        <w:t xml:space="preserve">Otevřená výzva </w:t>
      </w:r>
    </w:p>
    <w:p w14:paraId="7715F236" w14:textId="0D365C3B" w:rsidR="00A94BC9" w:rsidRDefault="00A94BC9" w:rsidP="00A94BC9">
      <w:pPr>
        <w:rPr>
          <w:rFonts w:ascii="Cambria" w:hAnsi="Cambria"/>
        </w:rPr>
      </w:pPr>
      <w:r w:rsidRPr="00A94BC9">
        <w:rPr>
          <w:rFonts w:ascii="Cambria" w:hAnsi="Cambria"/>
        </w:rPr>
        <w:t xml:space="preserve">Předpokládaná hodnota: </w:t>
      </w:r>
      <w:r w:rsidRPr="00A94BC9">
        <w:rPr>
          <w:rFonts w:ascii="Cambria" w:hAnsi="Cambria"/>
        </w:rPr>
        <w:tab/>
      </w:r>
      <w:r w:rsidRPr="00A94BC9">
        <w:rPr>
          <w:rFonts w:ascii="Cambria" w:hAnsi="Cambria"/>
        </w:rPr>
        <w:tab/>
        <w:t xml:space="preserve">925.000,-Kč </w:t>
      </w:r>
    </w:p>
    <w:p w14:paraId="4C2162E8" w14:textId="77777777" w:rsidR="001D6D01" w:rsidRPr="001D6D01" w:rsidRDefault="001D6D01" w:rsidP="001D6D01">
      <w:pPr>
        <w:pStyle w:val="FormtovanvHTML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1D6D01">
        <w:rPr>
          <w:rFonts w:ascii="Cambria" w:eastAsiaTheme="minorHAnsi" w:hAnsi="Cambria" w:cstheme="minorBidi"/>
          <w:sz w:val="22"/>
          <w:szCs w:val="22"/>
          <w:lang w:eastAsia="en-US"/>
        </w:rPr>
        <w:t xml:space="preserve">Financováno z OP JAK, ERDF kvalita na UK, </w:t>
      </w:r>
      <w:proofErr w:type="spellStart"/>
      <w:r w:rsidRPr="001D6D01">
        <w:rPr>
          <w:rFonts w:ascii="Cambria" w:eastAsiaTheme="minorHAnsi" w:hAnsi="Cambria" w:cstheme="minorBidi"/>
          <w:sz w:val="22"/>
          <w:szCs w:val="22"/>
          <w:lang w:eastAsia="en-US"/>
        </w:rPr>
        <w:t>reg</w:t>
      </w:r>
      <w:proofErr w:type="spellEnd"/>
      <w:r w:rsidRPr="001D6D01">
        <w:rPr>
          <w:rFonts w:ascii="Cambria" w:eastAsiaTheme="minorHAnsi" w:hAnsi="Cambria" w:cstheme="minorBidi"/>
          <w:sz w:val="22"/>
          <w:szCs w:val="22"/>
          <w:lang w:eastAsia="en-US"/>
        </w:rPr>
        <w:t xml:space="preserve">. číslo projektu </w:t>
      </w:r>
      <w:bookmarkStart w:id="0" w:name="_Hlk193367381"/>
      <w:r w:rsidRPr="001D6D01">
        <w:rPr>
          <w:rFonts w:ascii="Cambria" w:eastAsiaTheme="minorHAnsi" w:hAnsi="Cambria" w:cstheme="minorBidi"/>
          <w:sz w:val="22"/>
          <w:szCs w:val="22"/>
          <w:lang w:eastAsia="en-US"/>
        </w:rPr>
        <w:t>CZ.02.02.01/00/23_023/0009064</w:t>
      </w:r>
      <w:bookmarkEnd w:id="0"/>
      <w:r w:rsidRPr="001D6D01">
        <w:rPr>
          <w:rFonts w:ascii="Cambria" w:eastAsiaTheme="minorHAnsi" w:hAnsi="Cambria" w:cstheme="minorBidi"/>
          <w:sz w:val="22"/>
          <w:szCs w:val="22"/>
          <w:lang w:eastAsia="en-US"/>
        </w:rPr>
        <w:t>.</w:t>
      </w:r>
    </w:p>
    <w:p w14:paraId="37DC4D1A" w14:textId="77777777" w:rsidR="001D6D01" w:rsidRDefault="001D6D01" w:rsidP="001D6D01">
      <w:pPr>
        <w:pStyle w:val="Zpat"/>
        <w:jc w:val="center"/>
      </w:pPr>
    </w:p>
    <w:p w14:paraId="5531DDCA" w14:textId="5A93E71C" w:rsidR="00E63957" w:rsidRPr="000A4227" w:rsidRDefault="00E63957" w:rsidP="00A94BC9">
      <w:pPr>
        <w:rPr>
          <w:rFonts w:ascii="Cambria" w:hAnsi="Cambria"/>
          <w:b/>
          <w:bCs/>
          <w:u w:val="single"/>
        </w:rPr>
      </w:pPr>
      <w:r w:rsidRPr="000A4227">
        <w:rPr>
          <w:rFonts w:ascii="Cambria" w:hAnsi="Cambria"/>
          <w:b/>
          <w:bCs/>
          <w:u w:val="single"/>
        </w:rPr>
        <w:t>Popis předmětu plnění:</w:t>
      </w:r>
    </w:p>
    <w:p w14:paraId="5E538192" w14:textId="5D0FCBA1" w:rsidR="007311F1" w:rsidRDefault="00E63957" w:rsidP="00A94BC9">
      <w:pPr>
        <w:jc w:val="both"/>
        <w:rPr>
          <w:rFonts w:ascii="Cambria" w:hAnsi="Cambria"/>
        </w:rPr>
      </w:pPr>
      <w:bookmarkStart w:id="1" w:name="_Hlk195184559"/>
      <w:r w:rsidRPr="000A4227">
        <w:rPr>
          <w:rFonts w:ascii="Cambria" w:hAnsi="Cambria"/>
        </w:rPr>
        <w:t>Předmětem zakázky je medicínský výukový simulátor</w:t>
      </w:r>
      <w:r w:rsidR="000A4227" w:rsidRPr="000A4227">
        <w:rPr>
          <w:rFonts w:ascii="Cambria" w:hAnsi="Cambria"/>
        </w:rPr>
        <w:t xml:space="preserve"> zavádění jehel pomocí ultrazvukového zobrazovače. </w:t>
      </w:r>
      <w:r w:rsidR="009C5A33">
        <w:rPr>
          <w:rFonts w:ascii="Cambria" w:hAnsi="Cambria"/>
        </w:rPr>
        <w:t>„</w:t>
      </w:r>
      <w:proofErr w:type="spellStart"/>
      <w:r w:rsidR="000A4227" w:rsidRPr="000A4227">
        <w:rPr>
          <w:rFonts w:ascii="Cambria" w:hAnsi="Cambria"/>
        </w:rPr>
        <w:t>Needle</w:t>
      </w:r>
      <w:proofErr w:type="spellEnd"/>
      <w:r w:rsidR="000A4227" w:rsidRPr="000A4227">
        <w:rPr>
          <w:rFonts w:ascii="Cambria" w:hAnsi="Cambria"/>
        </w:rPr>
        <w:t xml:space="preserve"> </w:t>
      </w:r>
      <w:proofErr w:type="spellStart"/>
      <w:r w:rsidR="000A4227" w:rsidRPr="000A4227">
        <w:rPr>
          <w:rFonts w:ascii="Cambria" w:hAnsi="Cambria"/>
        </w:rPr>
        <w:t>trainer</w:t>
      </w:r>
      <w:proofErr w:type="spellEnd"/>
      <w:r w:rsidR="009C5A33">
        <w:rPr>
          <w:rFonts w:ascii="Cambria" w:hAnsi="Cambria"/>
        </w:rPr>
        <w:t>“</w:t>
      </w:r>
      <w:r w:rsidR="000A4227" w:rsidRPr="000A4227">
        <w:rPr>
          <w:rFonts w:ascii="Cambria" w:hAnsi="Cambria"/>
        </w:rPr>
        <w:t xml:space="preserve"> musí umožňovat nácvik a výuku ultrazvukem naváděných</w:t>
      </w:r>
      <w:r w:rsidR="00E851D8">
        <w:rPr>
          <w:rFonts w:ascii="Cambria" w:hAnsi="Cambria"/>
        </w:rPr>
        <w:t xml:space="preserve"> jehel do všech částí lidského těla</w:t>
      </w:r>
      <w:r w:rsidR="007311F1">
        <w:rPr>
          <w:rFonts w:ascii="Cambria" w:hAnsi="Cambria"/>
        </w:rPr>
        <w:t>.</w:t>
      </w:r>
      <w:r w:rsidR="009C5A33">
        <w:rPr>
          <w:rFonts w:ascii="Cambria" w:hAnsi="Cambria"/>
        </w:rPr>
        <w:t xml:space="preserve"> Trénink musí být </w:t>
      </w:r>
      <w:r w:rsidR="009C5A33" w:rsidRPr="000A4227">
        <w:rPr>
          <w:rFonts w:ascii="Cambria" w:hAnsi="Cambria"/>
        </w:rPr>
        <w:t>maximálně realistický</w:t>
      </w:r>
      <w:r w:rsidR="009C5A33">
        <w:rPr>
          <w:rFonts w:ascii="Cambria" w:hAnsi="Cambria"/>
        </w:rPr>
        <w:t>,</w:t>
      </w:r>
      <w:r w:rsidR="009C5A33" w:rsidRPr="000A4227">
        <w:rPr>
          <w:rFonts w:ascii="Cambria" w:hAnsi="Cambria"/>
        </w:rPr>
        <w:t xml:space="preserve"> dokonale simulující klinické prostředí</w:t>
      </w:r>
      <w:r w:rsidR="009C5A33">
        <w:rPr>
          <w:rFonts w:ascii="Cambria" w:hAnsi="Cambria"/>
        </w:rPr>
        <w:t>. Trénink musí být možné provádět bezpečně na skutečném figurant</w:t>
      </w:r>
      <w:r w:rsidR="00F04976">
        <w:rPr>
          <w:rFonts w:ascii="Cambria" w:hAnsi="Cambria"/>
        </w:rPr>
        <w:t xml:space="preserve">ovi. </w:t>
      </w:r>
      <w:r w:rsidR="009C5A33">
        <w:rPr>
          <w:rFonts w:ascii="Cambria" w:hAnsi="Cambria"/>
        </w:rPr>
        <w:t xml:space="preserve">Trénink musí být možné provádět i bez, pacienta, </w:t>
      </w:r>
      <w:r w:rsidR="009C5A33" w:rsidRPr="000A4227">
        <w:rPr>
          <w:rFonts w:ascii="Cambria" w:hAnsi="Cambria"/>
        </w:rPr>
        <w:t>s</w:t>
      </w:r>
      <w:r w:rsidR="009C5A33">
        <w:rPr>
          <w:rFonts w:ascii="Cambria" w:hAnsi="Cambria"/>
        </w:rPr>
        <w:t>e s</w:t>
      </w:r>
      <w:r w:rsidR="009C5A33" w:rsidRPr="000A4227">
        <w:rPr>
          <w:rFonts w:ascii="Cambria" w:hAnsi="Cambria"/>
        </w:rPr>
        <w:t xml:space="preserve">imulací </w:t>
      </w:r>
      <w:r w:rsidR="003A215E">
        <w:rPr>
          <w:rFonts w:ascii="Cambria" w:hAnsi="Cambria"/>
        </w:rPr>
        <w:t xml:space="preserve">jeho </w:t>
      </w:r>
      <w:r w:rsidR="009C5A33" w:rsidRPr="000A4227">
        <w:rPr>
          <w:rFonts w:ascii="Cambria" w:hAnsi="Cambria"/>
        </w:rPr>
        <w:t>anatomických struktur</w:t>
      </w:r>
      <w:r w:rsidR="009C5A33">
        <w:rPr>
          <w:rFonts w:ascii="Cambria" w:hAnsi="Cambria"/>
        </w:rPr>
        <w:t xml:space="preserve">. Simulace vpichu musí být prováděna pomocí </w:t>
      </w:r>
      <w:r w:rsidR="003A215E">
        <w:rPr>
          <w:rFonts w:ascii="Cambria" w:hAnsi="Cambria"/>
        </w:rPr>
        <w:t xml:space="preserve">neinvazivního </w:t>
      </w:r>
      <w:r w:rsidR="009C5A33">
        <w:rPr>
          <w:rFonts w:ascii="Cambria" w:hAnsi="Cambria"/>
        </w:rPr>
        <w:t>fyzického fantomu, simulující i hloubku vnoření jehly.</w:t>
      </w:r>
      <w:r w:rsidR="003A215E">
        <w:rPr>
          <w:rFonts w:ascii="Cambria" w:hAnsi="Cambria"/>
        </w:rPr>
        <w:t xml:space="preserve"> Dodávka musí obsahovat reálný pacientský ultrazvukový zobrazovač se všemi běžnými funkcemi. Dodávka musí navíc obsahovat reálný pacientský ultrazvukový plně bezdrátový zobrazovač kompatibilní se simulátorem. Simulátor musí zobrazovat skutečný ultrazvukový obraz s virtuálním obrazem jehly v reálném čase. Pro větší názornost tréninku je vhodné barevné zvýraznění jednotlivých orgánových struktur.</w:t>
      </w:r>
    </w:p>
    <w:bookmarkEnd w:id="1"/>
    <w:p w14:paraId="0FE79011" w14:textId="77777777" w:rsidR="0097475F" w:rsidRPr="00EF2B79" w:rsidRDefault="0097475F" w:rsidP="0067699C">
      <w:pPr>
        <w:rPr>
          <w:rFonts w:ascii="Cambria" w:hAnsi="Cambria"/>
          <w:bCs/>
        </w:rPr>
      </w:pPr>
    </w:p>
    <w:p w14:paraId="76B57BD1" w14:textId="4409B890" w:rsidR="0067699C" w:rsidRPr="000A4227" w:rsidRDefault="005B23F9" w:rsidP="0067699C">
      <w:pPr>
        <w:rPr>
          <w:rFonts w:ascii="Cambria" w:hAnsi="Cambria"/>
          <w:b/>
          <w:u w:val="single"/>
        </w:rPr>
      </w:pPr>
      <w:r w:rsidRPr="000A4227">
        <w:rPr>
          <w:rFonts w:ascii="Cambria" w:hAnsi="Cambria"/>
          <w:b/>
          <w:u w:val="single"/>
        </w:rPr>
        <w:t>Technická specifik</w:t>
      </w:r>
      <w:r w:rsidR="00A65099" w:rsidRPr="000A4227">
        <w:rPr>
          <w:rFonts w:ascii="Cambria" w:hAnsi="Cambria"/>
          <w:b/>
          <w:u w:val="single"/>
        </w:rPr>
        <w:t xml:space="preserve">ace, </w:t>
      </w:r>
      <w:r w:rsidR="00E94B0A" w:rsidRPr="000A4227">
        <w:rPr>
          <w:rFonts w:ascii="Cambria" w:hAnsi="Cambria"/>
          <w:b/>
          <w:u w:val="single"/>
        </w:rPr>
        <w:t xml:space="preserve">minimální </w:t>
      </w:r>
      <w:r w:rsidR="00C067EC" w:rsidRPr="000A4227">
        <w:rPr>
          <w:rFonts w:ascii="Cambria" w:hAnsi="Cambria"/>
          <w:b/>
          <w:u w:val="single"/>
        </w:rPr>
        <w:t xml:space="preserve">technické </w:t>
      </w:r>
      <w:r w:rsidR="00E94B0A" w:rsidRPr="000A4227">
        <w:rPr>
          <w:rFonts w:ascii="Cambria" w:hAnsi="Cambria"/>
          <w:b/>
          <w:u w:val="single"/>
        </w:rPr>
        <w:t>požadavky zadavatele:</w:t>
      </w:r>
    </w:p>
    <w:p w14:paraId="68188D11" w14:textId="371E3C5D" w:rsidR="00446F59" w:rsidRPr="000A4227" w:rsidRDefault="00446F59" w:rsidP="0067699C">
      <w:pPr>
        <w:rPr>
          <w:rFonts w:ascii="Cambria" w:hAnsi="Cambria"/>
          <w:bCs/>
        </w:rPr>
      </w:pP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2"/>
        <w:gridCol w:w="3831"/>
      </w:tblGrid>
      <w:tr w:rsidR="00BD338F" w:rsidRPr="000A4227" w14:paraId="25FFA29B" w14:textId="77777777" w:rsidTr="007C779C">
        <w:trPr>
          <w:trHeight w:val="51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AFB782A" w14:textId="77777777" w:rsidR="00BD338F" w:rsidRPr="000A4227" w:rsidRDefault="00BD338F" w:rsidP="00BD338F">
            <w:pPr>
              <w:spacing w:line="256" w:lineRule="auto"/>
              <w:rPr>
                <w:rFonts w:ascii="Cambria" w:hAnsi="Cambria" w:cstheme="minorHAnsi"/>
                <w:b/>
                <w:caps/>
              </w:rPr>
            </w:pPr>
            <w:r w:rsidRPr="000A4227">
              <w:rPr>
                <w:rFonts w:ascii="Cambria" w:hAnsi="Cambria" w:cstheme="minorHAnsi"/>
                <w:b/>
              </w:rPr>
              <w:t>Popis plnění a požadované technické parametry: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3DB2C2" w14:textId="20B19C1A" w:rsidR="00BD338F" w:rsidRPr="000A4227" w:rsidRDefault="00BD338F" w:rsidP="00BD338F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caps/>
              </w:rPr>
            </w:pPr>
          </w:p>
        </w:tc>
      </w:tr>
      <w:tr w:rsidR="00BD338F" w:rsidRPr="000A4227" w14:paraId="34FC50BE" w14:textId="77777777" w:rsidTr="007C779C">
        <w:trPr>
          <w:trHeight w:val="708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766417" w14:textId="526D9A61" w:rsidR="00BD338F" w:rsidRPr="000A4227" w:rsidRDefault="00983E53" w:rsidP="00B95E67">
            <w:pPr>
              <w:spacing w:after="0" w:line="256" w:lineRule="auto"/>
              <w:rPr>
                <w:rFonts w:ascii="Cambria" w:hAnsi="Cambria" w:cstheme="minorHAnsi"/>
                <w:b/>
              </w:rPr>
            </w:pPr>
            <w:r w:rsidRPr="000A4227">
              <w:rPr>
                <w:rFonts w:ascii="Cambria" w:hAnsi="Cambria" w:cstheme="minorHAnsi"/>
                <w:b/>
              </w:rPr>
              <w:t>Název zboží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5EA9FAC" w14:textId="3E536760" w:rsidR="00BD338F" w:rsidRPr="000A4227" w:rsidRDefault="00037D14" w:rsidP="00BD338F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caps/>
              </w:rPr>
            </w:pPr>
            <w:r w:rsidRPr="000A4227">
              <w:rPr>
                <w:rFonts w:ascii="Cambria" w:hAnsi="Cambria" w:cstheme="minorHAnsi"/>
              </w:rPr>
              <w:t xml:space="preserve">Prodávající uvede </w:t>
            </w:r>
            <w:r w:rsidR="007C779C" w:rsidRPr="000A4227">
              <w:rPr>
                <w:rFonts w:ascii="Cambria" w:hAnsi="Cambria" w:cstheme="minorHAnsi"/>
              </w:rPr>
              <w:t xml:space="preserve">obchodní </w:t>
            </w:r>
            <w:r w:rsidRPr="000A4227">
              <w:rPr>
                <w:rFonts w:ascii="Cambria" w:hAnsi="Cambria" w:cstheme="minorHAnsi"/>
              </w:rPr>
              <w:t>název zboží</w:t>
            </w:r>
          </w:p>
        </w:tc>
      </w:tr>
      <w:tr w:rsidR="00022ADA" w:rsidRPr="000A4227" w14:paraId="36EF9CB5" w14:textId="77777777" w:rsidTr="007C779C">
        <w:trPr>
          <w:trHeight w:val="829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AAA78" w14:textId="008F6AAA" w:rsidR="00022ADA" w:rsidRPr="000A4227" w:rsidRDefault="00BE57C3" w:rsidP="00022ADA">
            <w:pPr>
              <w:spacing w:after="0" w:line="256" w:lineRule="auto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/>
                <w:b/>
                <w:bCs/>
              </w:rPr>
              <w:t>S</w:t>
            </w:r>
            <w:r w:rsidRPr="000A4227">
              <w:rPr>
                <w:rFonts w:ascii="Cambria" w:hAnsi="Cambria"/>
                <w:b/>
                <w:bCs/>
              </w:rPr>
              <w:t>imulátor zavádění jehel pomocí ultrazvukové navigace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35CA8F7E" w14:textId="18FBA472" w:rsidR="00022ADA" w:rsidRPr="000A4227" w:rsidRDefault="00022ADA" w:rsidP="00022ADA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</w:p>
        </w:tc>
      </w:tr>
      <w:tr w:rsidR="00022ADA" w:rsidRPr="000A4227" w14:paraId="4512215A" w14:textId="77777777" w:rsidTr="007C779C">
        <w:trPr>
          <w:trHeight w:val="829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34E1E7" w14:textId="7E2C15D0" w:rsidR="00022ADA" w:rsidRPr="000A4227" w:rsidRDefault="00BE57C3" w:rsidP="00022ADA">
            <w:pPr>
              <w:spacing w:after="0" w:line="256" w:lineRule="auto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t>Kombinuje skutečný ultrazvukový obraz s virtuálním překryvem jehly.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4FCB4B3C" w14:textId="1E740777" w:rsidR="00022ADA" w:rsidRPr="000A4227" w:rsidRDefault="00022ADA" w:rsidP="00022ADA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022ADA" w:rsidRPr="000A4227" w14:paraId="0F40D470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0DDDE3" w14:textId="47645BB4" w:rsidR="00022ADA" w:rsidRPr="000A4227" w:rsidRDefault="00BE57C3" w:rsidP="00022ADA">
            <w:pPr>
              <w:spacing w:after="0" w:line="256" w:lineRule="auto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t>Obsahuje skutečný pacientský</w:t>
            </w:r>
            <w:r w:rsidR="00646734">
              <w:rPr>
                <w:rFonts w:ascii="Cambria" w:hAnsi="Cambria" w:cstheme="minorHAnsi"/>
                <w:bCs/>
              </w:rPr>
              <w:t xml:space="preserve"> „drátový“</w:t>
            </w:r>
            <w:r>
              <w:rPr>
                <w:rFonts w:ascii="Cambria" w:hAnsi="Cambria" w:cstheme="minorHAnsi"/>
                <w:bCs/>
              </w:rPr>
              <w:t xml:space="preserve"> ultrazvukový zobrazovač </w:t>
            </w:r>
            <w:r w:rsidR="00027203">
              <w:rPr>
                <w:rFonts w:ascii="Cambria" w:hAnsi="Cambria" w:cstheme="minorHAnsi"/>
                <w:bCs/>
              </w:rPr>
              <w:t xml:space="preserve">s pojezdem a </w:t>
            </w:r>
            <w:r>
              <w:rPr>
                <w:rFonts w:ascii="Cambria" w:hAnsi="Cambria" w:cstheme="minorHAnsi"/>
                <w:bCs/>
              </w:rPr>
              <w:t xml:space="preserve">se všemi </w:t>
            </w:r>
            <w:r w:rsidR="00AA309A">
              <w:rPr>
                <w:rFonts w:ascii="Cambria" w:hAnsi="Cambria" w:cstheme="minorHAnsi"/>
                <w:bCs/>
              </w:rPr>
              <w:t xml:space="preserve">běžnými </w:t>
            </w:r>
            <w:r>
              <w:rPr>
                <w:rFonts w:ascii="Cambria" w:hAnsi="Cambria" w:cstheme="minorHAnsi"/>
                <w:bCs/>
              </w:rPr>
              <w:t>funkcemi a sondami pro zavádění jehel.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06358A" w14:textId="77777777" w:rsidR="00022ADA" w:rsidRPr="000A4227" w:rsidRDefault="00022ADA" w:rsidP="00022ADA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color w:val="000000"/>
              </w:rPr>
            </w:pPr>
            <w:r w:rsidRPr="000A4227">
              <w:rPr>
                <w:rFonts w:ascii="Cambria" w:hAnsi="Cambria" w:cstheme="minorHAnsi"/>
              </w:rPr>
              <w:t xml:space="preserve">Prodávající k jednotlivým parametrům doplní „ano“ nebo </w:t>
            </w:r>
            <w:r w:rsidRPr="000A4227">
              <w:rPr>
                <w:rFonts w:ascii="Cambria" w:hAnsi="Cambria" w:cstheme="minorHAnsi"/>
              </w:rPr>
              <w:lastRenderedPageBreak/>
              <w:t>„splňuji“ a uvede nabízené parametry/plnění.</w:t>
            </w:r>
          </w:p>
        </w:tc>
      </w:tr>
      <w:tr w:rsidR="00AA309A" w:rsidRPr="000A4227" w14:paraId="686A6B86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7FA8F7" w14:textId="79DB22FD" w:rsidR="00AA309A" w:rsidRDefault="00AA309A" w:rsidP="00022ADA">
            <w:pPr>
              <w:spacing w:after="0" w:line="256" w:lineRule="auto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lastRenderedPageBreak/>
              <w:t>Obsahuje skutečný pacientský plně bezdrátový ultrazvukový zobrazovač se všemi běžnými funkcemi a sondami pro zavádění jehel.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6481F394" w14:textId="1B2D342D" w:rsidR="00AA309A" w:rsidRPr="000A4227" w:rsidRDefault="00995E30" w:rsidP="00022ADA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022ADA" w:rsidRPr="000A4227" w14:paraId="094A9F7E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229658" w14:textId="7AF94AFC" w:rsidR="00022ADA" w:rsidRPr="000A4227" w:rsidRDefault="00BE57C3" w:rsidP="00022ADA">
            <w:pPr>
              <w:spacing w:after="0" w:line="256" w:lineRule="auto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t xml:space="preserve">Obsahuje fyzický </w:t>
            </w:r>
            <w:r w:rsidR="007E709D">
              <w:rPr>
                <w:rFonts w:ascii="Cambria" w:hAnsi="Cambria" w:cstheme="minorHAnsi"/>
                <w:bCs/>
              </w:rPr>
              <w:t xml:space="preserve">neinvazivní model jehel se simulací </w:t>
            </w:r>
            <w:r w:rsidR="004B546B">
              <w:rPr>
                <w:rFonts w:ascii="Cambria" w:hAnsi="Cambria" w:cstheme="minorHAnsi"/>
                <w:bCs/>
              </w:rPr>
              <w:t>vpichování</w:t>
            </w:r>
            <w:r w:rsidR="007E709D">
              <w:rPr>
                <w:rFonts w:ascii="Cambria" w:hAnsi="Cambria" w:cstheme="minorHAnsi"/>
                <w:bCs/>
              </w:rPr>
              <w:t xml:space="preserve"> a její hloubky</w:t>
            </w:r>
            <w:r w:rsidR="004B546B">
              <w:rPr>
                <w:rFonts w:ascii="Cambria" w:hAnsi="Cambria" w:cstheme="minorHAnsi"/>
                <w:bCs/>
              </w:rPr>
              <w:t xml:space="preserve"> na živém pacientu</w:t>
            </w:r>
            <w:r w:rsidR="007E709D">
              <w:rPr>
                <w:rFonts w:ascii="Cambria" w:hAnsi="Cambria" w:cstheme="minorHAnsi"/>
                <w:bCs/>
              </w:rPr>
              <w:t>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5AEE76A6" w14:textId="77777777" w:rsidR="00022ADA" w:rsidRPr="000A4227" w:rsidRDefault="00022ADA" w:rsidP="00022ADA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022ADA" w:rsidRPr="000A4227" w14:paraId="256CB2B9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E5F583" w14:textId="28E53F1C" w:rsidR="00022ADA" w:rsidRPr="000A4227" w:rsidRDefault="007E709D" w:rsidP="00022ADA">
            <w:pPr>
              <w:spacing w:after="0" w:line="256" w:lineRule="auto"/>
              <w:rPr>
                <w:rFonts w:ascii="Cambria" w:hAnsi="Cambria" w:cstheme="minorHAnsi"/>
              </w:rPr>
            </w:pPr>
            <w:r>
              <w:rPr>
                <w:rFonts w:ascii="Cambria" w:hAnsi="Cambria"/>
              </w:rPr>
              <w:t>S</w:t>
            </w:r>
            <w:r w:rsidRPr="000A4227">
              <w:rPr>
                <w:rFonts w:ascii="Cambria" w:hAnsi="Cambria"/>
              </w:rPr>
              <w:t xml:space="preserve">kenování </w:t>
            </w:r>
            <w:r w:rsidR="000857E0">
              <w:rPr>
                <w:rFonts w:ascii="Cambria" w:hAnsi="Cambria"/>
              </w:rPr>
              <w:t xml:space="preserve">a simulace </w:t>
            </w:r>
            <w:r w:rsidRPr="000A4227">
              <w:rPr>
                <w:rFonts w:ascii="Cambria" w:hAnsi="Cambria"/>
              </w:rPr>
              <w:t>dané oblasti v reálném čase na reálném pacientovi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73086DE4" w14:textId="41A06507" w:rsidR="00022ADA" w:rsidRPr="000A4227" w:rsidRDefault="00022ADA" w:rsidP="00022ADA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022ADA" w:rsidRPr="000A4227" w14:paraId="542FD0E5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2EF0EC" w14:textId="5047C6C8" w:rsidR="00022ADA" w:rsidRPr="000A4227" w:rsidRDefault="007E709D" w:rsidP="00022ADA">
            <w:pPr>
              <w:spacing w:after="0" w:line="256" w:lineRule="auto"/>
              <w:rPr>
                <w:rFonts w:ascii="Cambria" w:hAnsi="Cambria" w:cstheme="minorHAnsi"/>
              </w:rPr>
            </w:pPr>
            <w:r>
              <w:rPr>
                <w:rFonts w:ascii="Cambria" w:hAnsi="Cambria"/>
              </w:rPr>
              <w:t>S</w:t>
            </w:r>
            <w:r w:rsidRPr="000A4227">
              <w:rPr>
                <w:rFonts w:ascii="Cambria" w:hAnsi="Cambria"/>
              </w:rPr>
              <w:t>imulací anatomických struktur pacienta</w:t>
            </w:r>
            <w:r>
              <w:rPr>
                <w:rFonts w:ascii="Cambria" w:hAnsi="Cambria"/>
              </w:rPr>
              <w:t>, výuka zavádění jehly bez ultrazvukového přístroje.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3ADD3B11" w14:textId="48B8BFB5" w:rsidR="00022ADA" w:rsidRPr="000A4227" w:rsidRDefault="00022ADA" w:rsidP="00022ADA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022ADA" w:rsidRPr="000A4227" w14:paraId="1FB50023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DF45F6" w14:textId="5053FABD" w:rsidR="00022ADA" w:rsidRPr="000A4227" w:rsidRDefault="007E709D" w:rsidP="00022ADA">
            <w:pPr>
              <w:spacing w:after="0" w:line="25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Barevné zvýraznění anatomických struktur v průběhu simulace.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248BBBEC" w14:textId="4A8AED04" w:rsidR="00022ADA" w:rsidRPr="000A4227" w:rsidRDefault="00022ADA" w:rsidP="00022ADA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022ADA" w:rsidRPr="000A4227" w14:paraId="53E9166B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48FAF1" w14:textId="52D740A1" w:rsidR="00022ADA" w:rsidRPr="000A4227" w:rsidRDefault="007E709D" w:rsidP="00022ADA">
            <w:pPr>
              <w:shd w:val="clear" w:color="auto" w:fill="FFFFFF"/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Fyzický simulátor </w:t>
            </w:r>
            <w:r w:rsidR="007C257D">
              <w:rPr>
                <w:rFonts w:ascii="Cambria" w:hAnsi="Cambria" w:cstheme="minorHAnsi"/>
              </w:rPr>
              <w:t xml:space="preserve">simulaci </w:t>
            </w:r>
            <w:r>
              <w:rPr>
                <w:rFonts w:ascii="Cambria" w:hAnsi="Cambria" w:cstheme="minorHAnsi"/>
              </w:rPr>
              <w:t xml:space="preserve">minimálně 3 délek jehel: </w:t>
            </w:r>
            <w:proofErr w:type="gramStart"/>
            <w:r>
              <w:rPr>
                <w:rFonts w:ascii="Cambria" w:hAnsi="Cambria" w:cstheme="minorHAnsi"/>
              </w:rPr>
              <w:t>30 – 50</w:t>
            </w:r>
            <w:proofErr w:type="gramEnd"/>
            <w:r>
              <w:rPr>
                <w:rFonts w:ascii="Cambria" w:hAnsi="Cambria" w:cstheme="minorHAnsi"/>
              </w:rPr>
              <w:t xml:space="preserve"> mm, 70 – 90 mm, 110 – 130 mm.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2FCFD9F3" w14:textId="67179DD8" w:rsidR="00022ADA" w:rsidRPr="000A4227" w:rsidRDefault="00022ADA" w:rsidP="00022ADA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022ADA" w:rsidRPr="000A4227" w14:paraId="3134D032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D54871" w14:textId="490623B0" w:rsidR="00022ADA" w:rsidRPr="000A4227" w:rsidRDefault="004A1C14" w:rsidP="00022ADA">
            <w:pPr>
              <w:spacing w:after="0" w:line="25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Nastavení </w:t>
            </w:r>
            <w:proofErr w:type="spellStart"/>
            <w:r>
              <w:rPr>
                <w:rFonts w:ascii="Cambria" w:hAnsi="Cambria" w:cstheme="minorHAnsi"/>
              </w:rPr>
              <w:t>echogenity</w:t>
            </w:r>
            <w:proofErr w:type="spellEnd"/>
            <w:r>
              <w:rPr>
                <w:rFonts w:ascii="Cambria" w:hAnsi="Cambria" w:cstheme="minorHAnsi"/>
              </w:rPr>
              <w:t>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2748DC36" w14:textId="100F45A8" w:rsidR="00022ADA" w:rsidRPr="000A4227" w:rsidRDefault="00022ADA" w:rsidP="00022ADA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022ADA" w:rsidRPr="000A4227" w14:paraId="54E482FF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23DA11" w14:textId="449A88D7" w:rsidR="00022ADA" w:rsidRPr="000A4227" w:rsidRDefault="004A1C14" w:rsidP="00022ADA">
            <w:pPr>
              <w:spacing w:after="0" w:line="25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Simulace různé velikosti jehel, minimálně 14G, 18G, </w:t>
            </w:r>
            <w:r w:rsidR="00CF73D8">
              <w:rPr>
                <w:rFonts w:ascii="Cambria" w:hAnsi="Cambria" w:cstheme="minorHAnsi"/>
              </w:rPr>
              <w:t>22G a 27G.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44719817" w14:textId="77777777" w:rsidR="00022ADA" w:rsidRPr="000A4227" w:rsidRDefault="00022ADA" w:rsidP="00022ADA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022ADA" w:rsidRPr="000A4227" w14:paraId="6ED3FD98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E0C9A7" w14:textId="68489EDF" w:rsidR="00022ADA" w:rsidRPr="000A4227" w:rsidRDefault="00AA309A" w:rsidP="00022ADA">
            <w:pPr>
              <w:spacing w:after="0" w:line="25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lastRenderedPageBreak/>
              <w:t xml:space="preserve">Provádění tréninku na jakékoliv části </w:t>
            </w:r>
            <w:r w:rsidR="000857E0">
              <w:rPr>
                <w:rFonts w:ascii="Cambria" w:hAnsi="Cambria" w:cstheme="minorHAnsi"/>
              </w:rPr>
              <w:t xml:space="preserve">lidského </w:t>
            </w:r>
            <w:r>
              <w:rPr>
                <w:rFonts w:ascii="Cambria" w:hAnsi="Cambria" w:cstheme="minorHAnsi"/>
              </w:rPr>
              <w:t>těla.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62A4FEE8" w14:textId="601031BA" w:rsidR="00022ADA" w:rsidRPr="000A4227" w:rsidRDefault="00022ADA" w:rsidP="00022ADA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022ADA" w:rsidRPr="000A4227" w14:paraId="1E5BDD56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8245E7" w14:textId="2AFB0B52" w:rsidR="00022ADA" w:rsidRPr="000A4227" w:rsidRDefault="004B546B" w:rsidP="00022ADA">
            <w:pPr>
              <w:spacing w:after="0" w:line="25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Trénink</w:t>
            </w:r>
            <w:r w:rsidR="00A452EC">
              <w:rPr>
                <w:rFonts w:ascii="Cambria" w:hAnsi="Cambria" w:cstheme="minorHAnsi"/>
              </w:rPr>
              <w:t xml:space="preserve"> blokád nervových svazků, </w:t>
            </w:r>
            <w:r>
              <w:rPr>
                <w:rFonts w:ascii="Cambria" w:hAnsi="Cambria" w:cstheme="minorHAnsi"/>
              </w:rPr>
              <w:t xml:space="preserve">vaskulárních přístupů, centrální, </w:t>
            </w:r>
            <w:proofErr w:type="spellStart"/>
            <w:r>
              <w:rPr>
                <w:rFonts w:ascii="Cambria" w:hAnsi="Cambria" w:cstheme="minorHAnsi"/>
              </w:rPr>
              <w:t>subklaviální</w:t>
            </w:r>
            <w:proofErr w:type="spellEnd"/>
            <w:r>
              <w:rPr>
                <w:rFonts w:ascii="Cambria" w:hAnsi="Cambria" w:cstheme="minorHAnsi"/>
              </w:rPr>
              <w:t xml:space="preserve"> a femorální katetrizace, zavádění kanyly.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69C0A3E1" w14:textId="77777777" w:rsidR="00022ADA" w:rsidRPr="000A4227" w:rsidRDefault="00022ADA" w:rsidP="00022ADA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022ADA" w:rsidRPr="000A4227" w14:paraId="20DFD6D8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EF96AC" w14:textId="2BD0D8B8" w:rsidR="00022ADA" w:rsidRPr="000A4227" w:rsidRDefault="000C1968" w:rsidP="00022AD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>Veškeré příslušenství nezbytné pro provoz simulátoru.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5E73F08A" w14:textId="057CB9DF" w:rsidR="00022ADA" w:rsidRPr="000A4227" w:rsidRDefault="00022ADA" w:rsidP="00022ADA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022ADA" w:rsidRPr="000A4227" w14:paraId="42D3E5F3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DF60949" w14:textId="23390753" w:rsidR="00022ADA" w:rsidRPr="000A4227" w:rsidRDefault="00E91B37" w:rsidP="00022AD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„Drátový“ ultrazvukový zobrazovač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CF393E" w14:textId="23857550" w:rsidR="00022ADA" w:rsidRPr="000A4227" w:rsidRDefault="000857E0" w:rsidP="00022ADA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uvede obchodní název zboží</w:t>
            </w:r>
          </w:p>
        </w:tc>
      </w:tr>
      <w:tr w:rsidR="003E1FD1" w:rsidRPr="000A4227" w14:paraId="67E7CC5B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E29764" w14:textId="3F1ED3D6" w:rsidR="003E1FD1" w:rsidRDefault="003E1FD1" w:rsidP="000C6B6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>Skutečný pacientský ultrazvukový přístroj.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7FD6A0E7" w14:textId="633FF093" w:rsidR="003E1FD1" w:rsidRPr="000A4227" w:rsidRDefault="003E1FD1" w:rsidP="000C6B6F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0C6B6F" w:rsidRPr="000A4227" w14:paraId="7117A0CD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4EC7A2" w14:textId="4B863982" w:rsidR="000C6B6F" w:rsidRPr="000A4227" w:rsidRDefault="000C6B6F" w:rsidP="000C6B6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>Obsahuje minimálně lineární i konvexní ultrazvukovou sondu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024D7895" w14:textId="0F5750B1" w:rsidR="000C6B6F" w:rsidRPr="000A4227" w:rsidRDefault="000C6B6F" w:rsidP="000C6B6F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0C6B6F" w:rsidRPr="000A4227" w14:paraId="7102275E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B736C7" w14:textId="7758FB74" w:rsidR="000C6B6F" w:rsidRPr="000A4227" w:rsidRDefault="000C6B6F" w:rsidP="000C6B6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>Kompatibilita se simulátorem.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79BD5F69" w14:textId="10C2F6E7" w:rsidR="000C6B6F" w:rsidRPr="000A4227" w:rsidRDefault="000C6B6F" w:rsidP="000C6B6F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0C6B6F" w:rsidRPr="000A4227" w14:paraId="20463876" w14:textId="77777777" w:rsidTr="007C779C">
        <w:trPr>
          <w:trHeight w:val="794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C17083" w14:textId="2BB37911" w:rsidR="000C6B6F" w:rsidRPr="000A4227" w:rsidRDefault="000C6B6F" w:rsidP="000C6B6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t>Disponuje</w:t>
            </w:r>
            <w:r w:rsidRPr="00193123">
              <w:t xml:space="preserve"> základní</w:t>
            </w:r>
            <w:r>
              <w:t>mi</w:t>
            </w:r>
            <w:r w:rsidRPr="00193123">
              <w:t xml:space="preserve"> prvky běžného pacientského ultrazvukového přístroje – minimálně: změna měřící funkce, změna zobrazovacího módu, zoom, zmrazení obrazu.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240649B4" w14:textId="47429D8B" w:rsidR="000C6B6F" w:rsidRPr="000A4227" w:rsidRDefault="000C6B6F" w:rsidP="000C6B6F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E91B37" w:rsidRPr="000A4227" w14:paraId="2A9E0568" w14:textId="77777777" w:rsidTr="007C779C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F09408" w14:textId="7B4ECAB3" w:rsidR="00E91B37" w:rsidRPr="000A4227" w:rsidRDefault="00E91B37" w:rsidP="00E91B3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hAnsi="Cambria"/>
                <w:bCs/>
              </w:rPr>
              <w:t>P</w:t>
            </w:r>
            <w:r w:rsidRPr="0097475F">
              <w:rPr>
                <w:rFonts w:ascii="Cambria" w:hAnsi="Cambria"/>
                <w:bCs/>
              </w:rPr>
              <w:t>odporuje</w:t>
            </w:r>
            <w:r>
              <w:rPr>
                <w:rFonts w:ascii="Cambria" w:hAnsi="Cambria"/>
                <w:bCs/>
              </w:rPr>
              <w:t xml:space="preserve"> minimálně</w:t>
            </w:r>
            <w:r w:rsidRPr="0097475F">
              <w:rPr>
                <w:rFonts w:ascii="Cambria" w:hAnsi="Cambria"/>
                <w:bCs/>
              </w:rPr>
              <w:t xml:space="preserve"> B-mode, M-mode, CF – barevný rychlostní Doppler, </w:t>
            </w:r>
            <w:proofErr w:type="gramStart"/>
            <w:r w:rsidRPr="0097475F">
              <w:rPr>
                <w:rFonts w:ascii="Cambria" w:hAnsi="Cambria"/>
                <w:bCs/>
              </w:rPr>
              <w:t>PW - pulzní</w:t>
            </w:r>
            <w:proofErr w:type="gramEnd"/>
            <w:r w:rsidRPr="0097475F">
              <w:rPr>
                <w:rFonts w:ascii="Cambria" w:hAnsi="Cambria"/>
                <w:bCs/>
              </w:rPr>
              <w:t xml:space="preserve"> Doppler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296BE0DB" w14:textId="6612D5DD" w:rsidR="00E91B37" w:rsidRPr="000A4227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E91B37" w:rsidRPr="000A4227" w14:paraId="5F408F72" w14:textId="77777777" w:rsidTr="007C779C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858CED" w14:textId="32118848" w:rsidR="00E91B37" w:rsidRPr="000A4227" w:rsidRDefault="00E91B37" w:rsidP="00E91B3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>Přenos dat do počítače – minimálně formát DICOM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487C2FBF" w14:textId="7BA36EB3" w:rsidR="00E91B37" w:rsidRPr="000A4227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 xml:space="preserve">Prodávající k jednotlivým parametrům doplní „ano“ nebo </w:t>
            </w:r>
            <w:r w:rsidRPr="000A4227">
              <w:rPr>
                <w:rFonts w:ascii="Cambria" w:hAnsi="Cambria" w:cstheme="minorHAnsi"/>
              </w:rPr>
              <w:lastRenderedPageBreak/>
              <w:t>„splňuji“ a uvede nabízené parametry/plnění.</w:t>
            </w:r>
          </w:p>
        </w:tc>
      </w:tr>
      <w:tr w:rsidR="00E91B37" w:rsidRPr="000A4227" w14:paraId="799CC173" w14:textId="77777777" w:rsidTr="007C779C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CBF92E" w14:textId="4FDFC2EA" w:rsidR="00E91B37" w:rsidRPr="000A4227" w:rsidRDefault="003E1FD1" w:rsidP="00E91B3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lastRenderedPageBreak/>
              <w:t>Pojízdný.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0E2341B7" w14:textId="47DACD0D" w:rsidR="00E91B37" w:rsidRPr="000A4227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E91B37" w:rsidRPr="000A4227" w14:paraId="47A40B7A" w14:textId="77777777" w:rsidTr="000857E0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335329" w14:textId="659B5660" w:rsidR="00E91B37" w:rsidRPr="000857E0" w:rsidRDefault="00E91B37" w:rsidP="00E91B3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 w:rsidRPr="000857E0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Bezdrátový ultrazvukový zobrazovač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30A27C1" w14:textId="51F235CF" w:rsidR="00E91B37" w:rsidRPr="000857E0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857E0">
              <w:rPr>
                <w:rFonts w:ascii="Cambria" w:hAnsi="Cambria" w:cstheme="minorHAnsi"/>
              </w:rPr>
              <w:t>Prodávající uvede obchodní název zboží</w:t>
            </w:r>
          </w:p>
        </w:tc>
      </w:tr>
      <w:tr w:rsidR="00E91B37" w:rsidRPr="000A4227" w14:paraId="69427838" w14:textId="77777777" w:rsidTr="007C779C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592487" w14:textId="638DFC9F" w:rsidR="00E91B37" w:rsidRPr="000A4227" w:rsidRDefault="00E91B37" w:rsidP="00E91B3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>Obsahuje minimálně lineární i konvexní ultrazvukovou sondu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25DB4DC0" w14:textId="393DFA41" w:rsidR="00E91B37" w:rsidRPr="000A4227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E91B37" w:rsidRPr="000A4227" w14:paraId="335DD6F5" w14:textId="77777777" w:rsidTr="007C779C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0AE266" w14:textId="04B349FF" w:rsidR="00E91B37" w:rsidRPr="000A4227" w:rsidRDefault="00E91B37" w:rsidP="00E91B3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>Kompatibilita se simulátorem.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5A9C25AA" w14:textId="19B65B4B" w:rsidR="00E91B37" w:rsidRPr="000A4227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E91B37" w:rsidRPr="000A4227" w14:paraId="30511E9D" w14:textId="77777777" w:rsidTr="007C779C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B3E04B" w14:textId="1F7E5BF6" w:rsidR="00E91B37" w:rsidRDefault="00E91B37" w:rsidP="00E91B3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t>Disponuje</w:t>
            </w:r>
            <w:r w:rsidRPr="00193123">
              <w:t xml:space="preserve"> základní</w:t>
            </w:r>
            <w:r>
              <w:t>mi</w:t>
            </w:r>
            <w:r w:rsidRPr="00193123">
              <w:t xml:space="preserve"> prvky běžného pacientského ultrazvukového přístroje – minimálně: změna měřící funkce, změna zobrazovacího módu, zoom, zmrazení obrazu.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74B073A3" w14:textId="2C669B7C" w:rsidR="00E91B37" w:rsidRPr="000A4227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E91B37" w:rsidRPr="000A4227" w14:paraId="76BD5C43" w14:textId="77777777" w:rsidTr="007C779C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0C3392" w14:textId="2B8E1943" w:rsidR="00E91B37" w:rsidRPr="000A4227" w:rsidRDefault="00E91B37" w:rsidP="00E91B3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>Zobrazení na mobilním telefonu či tabletu se systémem Android i iOS.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19233538" w14:textId="03D91142" w:rsidR="00E91B37" w:rsidRPr="000A4227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E91B37" w:rsidRPr="000A4227" w14:paraId="3A107108" w14:textId="77777777" w:rsidTr="007C779C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897C03" w14:textId="4A5F7C1E" w:rsidR="00E91B37" w:rsidRPr="000A4227" w:rsidRDefault="00E91B37" w:rsidP="00E91B3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>Výdrž minimálně 40 minut kontinuálního zobrazení.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0A675ABB" w14:textId="3977CF9E" w:rsidR="00E91B37" w:rsidRPr="000A4227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E91B37" w:rsidRPr="000A4227" w14:paraId="374FDBDC" w14:textId="77777777" w:rsidTr="007C779C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CD031E" w14:textId="632B24E7" w:rsidR="00E91B37" w:rsidRPr="000A4227" w:rsidRDefault="00E91B37" w:rsidP="00E91B3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>Celková délka maximálně 150 mm.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0AFD6D1E" w14:textId="4464B48B" w:rsidR="00E91B37" w:rsidRPr="000A4227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E91B37" w:rsidRPr="000A4227" w14:paraId="37542116" w14:textId="77777777" w:rsidTr="007C779C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B25719" w14:textId="5D8D5578" w:rsidR="00E91B37" w:rsidRPr="000A4227" w:rsidRDefault="00E91B37" w:rsidP="00E91B3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>Celková hmotnost maximálně 300 g.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0DC41B33" w14:textId="666F11A9" w:rsidR="00E91B37" w:rsidRPr="000A4227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E91B37" w:rsidRPr="000A4227" w14:paraId="5691069A" w14:textId="77777777" w:rsidTr="007C779C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860D41" w14:textId="0A5DC51C" w:rsidR="00E91B37" w:rsidRPr="000A4227" w:rsidRDefault="00E91B37" w:rsidP="00E91B3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lastRenderedPageBreak/>
              <w:t>On-line přenos dat ze sondy bez nutnosti připojení k internetu.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7EB73C4B" w14:textId="4E056014" w:rsidR="00E91B37" w:rsidRPr="000A4227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E91B37" w:rsidRPr="000A4227" w14:paraId="42DEA8BA" w14:textId="77777777" w:rsidTr="00793FB0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511BA4" w14:textId="1ED1F868" w:rsidR="00E91B37" w:rsidRDefault="00E91B37" w:rsidP="00E91B37">
            <w:pPr>
              <w:ind w:left="34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hAnsi="Cambria"/>
                <w:bCs/>
              </w:rPr>
              <w:t>P</w:t>
            </w:r>
            <w:r w:rsidRPr="0097475F">
              <w:rPr>
                <w:rFonts w:ascii="Cambria" w:hAnsi="Cambria"/>
                <w:bCs/>
              </w:rPr>
              <w:t>odporuje</w:t>
            </w:r>
            <w:r>
              <w:rPr>
                <w:rFonts w:ascii="Cambria" w:hAnsi="Cambria"/>
                <w:bCs/>
              </w:rPr>
              <w:t xml:space="preserve"> minimálně</w:t>
            </w:r>
            <w:r w:rsidRPr="0097475F">
              <w:rPr>
                <w:rFonts w:ascii="Cambria" w:hAnsi="Cambria"/>
                <w:bCs/>
              </w:rPr>
              <w:t xml:space="preserve"> B-mode, M-mode, CF – barevný rychlostní Doppler, </w:t>
            </w:r>
            <w:proofErr w:type="gramStart"/>
            <w:r w:rsidRPr="0097475F">
              <w:rPr>
                <w:rFonts w:ascii="Cambria" w:hAnsi="Cambria"/>
                <w:bCs/>
              </w:rPr>
              <w:t>PW - pulzní</w:t>
            </w:r>
            <w:proofErr w:type="gramEnd"/>
            <w:r w:rsidRPr="0097475F">
              <w:rPr>
                <w:rFonts w:ascii="Cambria" w:hAnsi="Cambria"/>
                <w:bCs/>
              </w:rPr>
              <w:t xml:space="preserve"> Doppler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5C9E603B" w14:textId="45218352" w:rsidR="00E91B37" w:rsidRPr="000A4227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E91B37" w:rsidRPr="000A4227" w14:paraId="1304D196" w14:textId="77777777" w:rsidTr="007C779C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FBB39F" w14:textId="12765C6B" w:rsidR="00E91B37" w:rsidRDefault="00E91B37" w:rsidP="00E91B3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>Odolnost vůči vodě a prachu minimálně IP67.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3D26C29D" w14:textId="31B7B562" w:rsidR="00E91B37" w:rsidRPr="000A4227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E91B37" w:rsidRPr="000A4227" w14:paraId="4DEDA8D5" w14:textId="77777777" w:rsidTr="007C779C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E92515" w14:textId="6DA418A1" w:rsidR="00E91B37" w:rsidRDefault="00E91B37" w:rsidP="00E91B3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 xml:space="preserve">Odolnost vůči otřesům minimálně </w:t>
            </w:r>
            <w:r w:rsidRPr="0097475F">
              <w:rPr>
                <w:rFonts w:ascii="Cambria" w:hAnsi="Cambria"/>
                <w:bCs/>
              </w:rPr>
              <w:t>MIL_810G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1D407C4F" w14:textId="6FB64D36" w:rsidR="00E91B37" w:rsidRPr="000A4227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parametry/plnění.</w:t>
            </w:r>
          </w:p>
        </w:tc>
      </w:tr>
      <w:tr w:rsidR="00E91B37" w:rsidRPr="000A4227" w14:paraId="209FB175" w14:textId="77777777" w:rsidTr="007C779C">
        <w:trPr>
          <w:trHeight w:val="50"/>
          <w:jc w:val="center"/>
        </w:trPr>
        <w:tc>
          <w:tcPr>
            <w:tcW w:w="28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618422" w14:textId="245CF024" w:rsidR="00E91B37" w:rsidRDefault="00E91B37" w:rsidP="00E91B3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lang w:eastAsia="cs-CZ"/>
              </w:rPr>
              <w:t>Přenos dat do počítače – minimálně formát DICOM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45170ECD" w14:textId="49147551" w:rsidR="00E91B37" w:rsidRPr="000A4227" w:rsidRDefault="00E91B37" w:rsidP="00E91B37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</w:rPr>
            </w:pPr>
            <w:r w:rsidRPr="000A4227">
              <w:rPr>
                <w:rFonts w:ascii="Cambria" w:hAnsi="Cambria" w:cstheme="minorHAnsi"/>
              </w:rPr>
              <w:t>Prodávající k jednotlivým parametrům doplní „ano“ nebo „splňuji“ a uvede nabízené parametry/plnění</w:t>
            </w:r>
          </w:p>
        </w:tc>
      </w:tr>
    </w:tbl>
    <w:p w14:paraId="62430F3A" w14:textId="77777777" w:rsidR="00164FAC" w:rsidRPr="000A4227" w:rsidRDefault="00164FAC" w:rsidP="00022ADA">
      <w:pPr>
        <w:rPr>
          <w:rFonts w:ascii="Cambria" w:hAnsi="Cambria"/>
        </w:rPr>
      </w:pPr>
    </w:p>
    <w:sectPr w:rsidR="00164FAC" w:rsidRPr="000A4227" w:rsidSect="001D6D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A2F33" w14:textId="77777777" w:rsidR="007A68F7" w:rsidRDefault="007A68F7" w:rsidP="002C4064">
      <w:pPr>
        <w:spacing w:after="0" w:line="240" w:lineRule="auto"/>
      </w:pPr>
      <w:r>
        <w:separator/>
      </w:r>
    </w:p>
  </w:endnote>
  <w:endnote w:type="continuationSeparator" w:id="0">
    <w:p w14:paraId="5743F0E7" w14:textId="77777777" w:rsidR="007A68F7" w:rsidRDefault="007A68F7" w:rsidP="002C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53F5" w14:textId="77777777" w:rsidR="005E75EF" w:rsidRDefault="005E75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89D02" w14:textId="77777777" w:rsidR="005E75EF" w:rsidRPr="00650B65" w:rsidRDefault="005E75EF" w:rsidP="005E75EF">
    <w:pPr>
      <w:pStyle w:val="FormtovanvHTML"/>
      <w:jc w:val="center"/>
      <w:rPr>
        <w:rFonts w:ascii="Calibri" w:eastAsia="Times New Roman" w:hAnsi="Calibri" w:cs="Calibri"/>
        <w:color w:val="0070C0"/>
        <w:sz w:val="22"/>
        <w:szCs w:val="22"/>
      </w:rPr>
    </w:pPr>
    <w:r w:rsidRPr="00650B65">
      <w:rPr>
        <w:rFonts w:ascii="Calibri" w:eastAsia="Times New Roman" w:hAnsi="Calibri" w:cs="Calibri"/>
        <w:color w:val="0070C0"/>
        <w:sz w:val="22"/>
        <w:szCs w:val="22"/>
      </w:rPr>
      <w:t xml:space="preserve">Financováno z OP JAK, ERDF kvalita na UK, </w:t>
    </w:r>
    <w:proofErr w:type="spellStart"/>
    <w:r w:rsidRPr="00650B65">
      <w:rPr>
        <w:rFonts w:ascii="Calibri" w:eastAsia="Times New Roman" w:hAnsi="Calibri" w:cs="Calibri"/>
        <w:color w:val="0070C0"/>
        <w:sz w:val="22"/>
        <w:szCs w:val="22"/>
      </w:rPr>
      <w:t>reg</w:t>
    </w:r>
    <w:proofErr w:type="spellEnd"/>
    <w:r w:rsidRPr="00650B65">
      <w:rPr>
        <w:rFonts w:ascii="Calibri" w:eastAsia="Times New Roman" w:hAnsi="Calibri" w:cs="Calibri"/>
        <w:color w:val="0070C0"/>
        <w:sz w:val="22"/>
        <w:szCs w:val="22"/>
      </w:rPr>
      <w:t>. číslo projektu CZ.02.02.01/00/23_023/0009064.</w:t>
    </w:r>
  </w:p>
  <w:p w14:paraId="021C0D67" w14:textId="77777777" w:rsidR="005E75EF" w:rsidRDefault="005E75EF" w:rsidP="005E75EF">
    <w:pPr>
      <w:pStyle w:val="Zpat"/>
      <w:jc w:val="center"/>
    </w:pPr>
  </w:p>
  <w:sdt>
    <w:sdtPr>
      <w:id w:val="-1520615799"/>
      <w:docPartObj>
        <w:docPartGallery w:val="Page Numbers (Bottom of Page)"/>
        <w:docPartUnique/>
      </w:docPartObj>
    </w:sdtPr>
    <w:sdtContent>
      <w:p w14:paraId="093ADA53" w14:textId="77777777" w:rsidR="005E75EF" w:rsidRDefault="005E75EF" w:rsidP="005E75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0266E0B" w14:textId="77777777" w:rsidR="005E75EF" w:rsidRDefault="005E75EF">
    <w:pPr>
      <w:pStyle w:val="Zpat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F95EB" w14:textId="77777777" w:rsidR="005E75EF" w:rsidRDefault="005E7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D0CC6" w14:textId="77777777" w:rsidR="007A68F7" w:rsidRDefault="007A68F7" w:rsidP="002C4064">
      <w:pPr>
        <w:spacing w:after="0" w:line="240" w:lineRule="auto"/>
      </w:pPr>
      <w:r>
        <w:separator/>
      </w:r>
    </w:p>
  </w:footnote>
  <w:footnote w:type="continuationSeparator" w:id="0">
    <w:p w14:paraId="51BDE583" w14:textId="77777777" w:rsidR="007A68F7" w:rsidRDefault="007A68F7" w:rsidP="002C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9706F" w14:textId="77777777" w:rsidR="005E75EF" w:rsidRDefault="005E75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5B6DD" w14:textId="7C74B765" w:rsidR="001D6D01" w:rsidRPr="006F1B93" w:rsidRDefault="001D6D01" w:rsidP="001D6D01">
    <w:pPr>
      <w:pStyle w:val="Webovstrnkyvzpat"/>
      <w:tabs>
        <w:tab w:val="clear" w:pos="5790"/>
        <w:tab w:val="left" w:pos="0"/>
        <w:tab w:val="left" w:pos="2460"/>
        <w:tab w:val="center" w:pos="4536"/>
      </w:tabs>
      <w:jc w:val="left"/>
      <w:rPr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A5951A" wp14:editId="08297291">
          <wp:simplePos x="0" y="0"/>
          <wp:positionH relativeFrom="margin">
            <wp:posOffset>-466725</wp:posOffset>
          </wp:positionH>
          <wp:positionV relativeFrom="margin">
            <wp:posOffset>-1536700</wp:posOffset>
          </wp:positionV>
          <wp:extent cx="3298190" cy="476250"/>
          <wp:effectExtent l="0" t="0" r="0" b="0"/>
          <wp:wrapNone/>
          <wp:docPr id="55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ab/>
      <w:t xml:space="preserve">                                                  </w:t>
    </w:r>
  </w:p>
  <w:p w14:paraId="4A95027E" w14:textId="47EA2405" w:rsidR="001D6D01" w:rsidRPr="00382B5D" w:rsidRDefault="001D6D01" w:rsidP="001D6D01">
    <w:pPr>
      <w:pStyle w:val="Zhlav"/>
      <w:tabs>
        <w:tab w:val="clear" w:pos="4536"/>
        <w:tab w:val="clear" w:pos="9072"/>
        <w:tab w:val="center" w:pos="4816"/>
      </w:tabs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6B87724" wp14:editId="06F8A47F">
          <wp:simplePos x="0" y="0"/>
          <wp:positionH relativeFrom="margin">
            <wp:posOffset>3933825</wp:posOffset>
          </wp:positionH>
          <wp:positionV relativeFrom="paragraph">
            <wp:posOffset>8255</wp:posOffset>
          </wp:positionV>
          <wp:extent cx="2657475" cy="505989"/>
          <wp:effectExtent l="0" t="0" r="0" b="8890"/>
          <wp:wrapNone/>
          <wp:docPr id="56" name="Obráze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MF_LFUK_logo_CZ_horizontal_red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50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</w:t>
    </w:r>
    <w:r w:rsidRPr="00382B5D">
      <w:rPr>
        <w:b/>
        <w:color w:val="44546A" w:themeColor="text2"/>
        <w:sz w:val="20"/>
        <w:szCs w:val="20"/>
      </w:rPr>
      <w:t>OP JAK.cz</w:t>
    </w:r>
  </w:p>
  <w:p w14:paraId="518D7D2E" w14:textId="77777777" w:rsidR="001D6D01" w:rsidRPr="00382B5D" w:rsidRDefault="001D6D01" w:rsidP="001D6D01">
    <w:pPr>
      <w:pStyle w:val="Zhlav"/>
      <w:tabs>
        <w:tab w:val="clear" w:pos="4536"/>
        <w:tab w:val="clear" w:pos="9072"/>
        <w:tab w:val="center" w:pos="4816"/>
      </w:tabs>
      <w:rPr>
        <w:b/>
        <w:sz w:val="20"/>
        <w:szCs w:val="20"/>
      </w:rPr>
    </w:pPr>
    <w:r>
      <w:t xml:space="preserve">                                     </w:t>
    </w:r>
    <w:r>
      <w:tab/>
      <w:t xml:space="preserve">                   </w:t>
    </w:r>
    <w:r w:rsidRPr="00382B5D">
      <w:rPr>
        <w:b/>
        <w:color w:val="44546A" w:themeColor="text2"/>
        <w:sz w:val="20"/>
        <w:szCs w:val="20"/>
      </w:rPr>
      <w:t>MSMT.cz</w:t>
    </w:r>
  </w:p>
  <w:p w14:paraId="3C082CA5" w14:textId="69FE8AAC" w:rsidR="001D6D01" w:rsidRDefault="001D6D01" w:rsidP="001D6D01">
    <w:pPr>
      <w:pStyle w:val="Zhlav"/>
      <w:tabs>
        <w:tab w:val="clear" w:pos="4536"/>
        <w:tab w:val="clear" w:pos="9072"/>
        <w:tab w:val="left" w:pos="1980"/>
        <w:tab w:val="left" w:pos="5820"/>
      </w:tabs>
      <w:ind w:right="-291"/>
    </w:pPr>
    <w:r>
      <w:rPr>
        <w:noProof/>
      </w:rPr>
      <w:t xml:space="preserve">                                                     </w:t>
    </w:r>
  </w:p>
  <w:p w14:paraId="33B1EA1A" w14:textId="77777777" w:rsidR="001D6D01" w:rsidRDefault="001D6D01" w:rsidP="00022ADA">
    <w:pPr>
      <w:rPr>
        <w:rFonts w:ascii="Cambria" w:hAnsi="Cambria"/>
        <w:b/>
        <w:bCs/>
      </w:rPr>
    </w:pPr>
  </w:p>
  <w:p w14:paraId="723667FC" w14:textId="797A0A5B" w:rsidR="001D6D01" w:rsidRDefault="001D6D01" w:rsidP="00022ADA">
    <w:pPr>
      <w:rPr>
        <w:rFonts w:ascii="Cambria" w:hAnsi="Cambria"/>
        <w:b/>
        <w:bCs/>
      </w:rPr>
    </w:pPr>
    <w:r>
      <w:rPr>
        <w:rFonts w:ascii="Cambria" w:hAnsi="Cambria"/>
        <w:b/>
        <w:bCs/>
      </w:rPr>
      <w:t>Příloha č. 1 technická specifikace</w:t>
    </w:r>
  </w:p>
  <w:p w14:paraId="313DBC50" w14:textId="77777777" w:rsidR="001D6D01" w:rsidRDefault="001D6D01" w:rsidP="00022ADA">
    <w:pPr>
      <w:rPr>
        <w:rFonts w:ascii="Cambria" w:hAnsi="Cambria"/>
        <w:b/>
        <w:bCs/>
      </w:rPr>
    </w:pPr>
  </w:p>
  <w:p w14:paraId="2A9BC622" w14:textId="612CF522" w:rsidR="00532C2F" w:rsidRDefault="00532C2F" w:rsidP="00022A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21070" w14:textId="77777777" w:rsidR="005E75EF" w:rsidRDefault="005E75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A5C"/>
    <w:multiLevelType w:val="multilevel"/>
    <w:tmpl w:val="DABE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46703"/>
    <w:multiLevelType w:val="hybridMultilevel"/>
    <w:tmpl w:val="CE24C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F195E"/>
    <w:multiLevelType w:val="multilevel"/>
    <w:tmpl w:val="C97E9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0745F8"/>
    <w:multiLevelType w:val="multilevel"/>
    <w:tmpl w:val="1716F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DC1D52"/>
    <w:multiLevelType w:val="hybridMultilevel"/>
    <w:tmpl w:val="D8BC5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47287"/>
    <w:multiLevelType w:val="hybridMultilevel"/>
    <w:tmpl w:val="C50CE6D0"/>
    <w:lvl w:ilvl="0" w:tplc="77FC70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20F26"/>
    <w:multiLevelType w:val="hybridMultilevel"/>
    <w:tmpl w:val="CEF4F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42473"/>
    <w:multiLevelType w:val="hybridMultilevel"/>
    <w:tmpl w:val="24DEB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42DE6"/>
    <w:multiLevelType w:val="hybridMultilevel"/>
    <w:tmpl w:val="14264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00AEB"/>
    <w:multiLevelType w:val="hybridMultilevel"/>
    <w:tmpl w:val="F984DF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95C1B"/>
    <w:multiLevelType w:val="hybridMultilevel"/>
    <w:tmpl w:val="6274958E"/>
    <w:lvl w:ilvl="0" w:tplc="D8A0300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A9"/>
    <w:rsid w:val="00015366"/>
    <w:rsid w:val="00022ADA"/>
    <w:rsid w:val="00027203"/>
    <w:rsid w:val="00027F3B"/>
    <w:rsid w:val="00036F3F"/>
    <w:rsid w:val="00037A06"/>
    <w:rsid w:val="00037D14"/>
    <w:rsid w:val="00041BFA"/>
    <w:rsid w:val="000422B8"/>
    <w:rsid w:val="00070B67"/>
    <w:rsid w:val="00080722"/>
    <w:rsid w:val="000857E0"/>
    <w:rsid w:val="000A4227"/>
    <w:rsid w:val="000A54C8"/>
    <w:rsid w:val="000C1968"/>
    <w:rsid w:val="000C4752"/>
    <w:rsid w:val="000C6B6F"/>
    <w:rsid w:val="000F12E1"/>
    <w:rsid w:val="001011B2"/>
    <w:rsid w:val="00107AB7"/>
    <w:rsid w:val="001142C5"/>
    <w:rsid w:val="00127E45"/>
    <w:rsid w:val="00147754"/>
    <w:rsid w:val="001565BC"/>
    <w:rsid w:val="00164FAC"/>
    <w:rsid w:val="00170758"/>
    <w:rsid w:val="00180130"/>
    <w:rsid w:val="001B3B49"/>
    <w:rsid w:val="001B4EA1"/>
    <w:rsid w:val="001D6D01"/>
    <w:rsid w:val="0020628B"/>
    <w:rsid w:val="0023219E"/>
    <w:rsid w:val="00242A70"/>
    <w:rsid w:val="00256D7F"/>
    <w:rsid w:val="00262B5E"/>
    <w:rsid w:val="0029570A"/>
    <w:rsid w:val="002B1B34"/>
    <w:rsid w:val="002C4064"/>
    <w:rsid w:val="002D30EC"/>
    <w:rsid w:val="002E76EC"/>
    <w:rsid w:val="002E7CA9"/>
    <w:rsid w:val="00311A63"/>
    <w:rsid w:val="003122C0"/>
    <w:rsid w:val="0032236F"/>
    <w:rsid w:val="00325233"/>
    <w:rsid w:val="00353121"/>
    <w:rsid w:val="003561A8"/>
    <w:rsid w:val="00357CC5"/>
    <w:rsid w:val="00366413"/>
    <w:rsid w:val="00396B5B"/>
    <w:rsid w:val="003A215E"/>
    <w:rsid w:val="003C714D"/>
    <w:rsid w:val="003D19FE"/>
    <w:rsid w:val="003E1FD1"/>
    <w:rsid w:val="003F0353"/>
    <w:rsid w:val="003F417F"/>
    <w:rsid w:val="004018EC"/>
    <w:rsid w:val="004019AA"/>
    <w:rsid w:val="00424790"/>
    <w:rsid w:val="00446F59"/>
    <w:rsid w:val="00455C95"/>
    <w:rsid w:val="004714C4"/>
    <w:rsid w:val="0048146C"/>
    <w:rsid w:val="00485470"/>
    <w:rsid w:val="004927A8"/>
    <w:rsid w:val="00497CC6"/>
    <w:rsid w:val="004A1C14"/>
    <w:rsid w:val="004A22F4"/>
    <w:rsid w:val="004B0274"/>
    <w:rsid w:val="004B3E65"/>
    <w:rsid w:val="004B546B"/>
    <w:rsid w:val="004C211D"/>
    <w:rsid w:val="004C4AB0"/>
    <w:rsid w:val="004D07B1"/>
    <w:rsid w:val="004D30F5"/>
    <w:rsid w:val="004E0F9A"/>
    <w:rsid w:val="005242AE"/>
    <w:rsid w:val="00532C2F"/>
    <w:rsid w:val="00536F57"/>
    <w:rsid w:val="0053796A"/>
    <w:rsid w:val="005413E1"/>
    <w:rsid w:val="00567CFA"/>
    <w:rsid w:val="00576113"/>
    <w:rsid w:val="005A0CB3"/>
    <w:rsid w:val="005B23F9"/>
    <w:rsid w:val="005E75EF"/>
    <w:rsid w:val="005F4239"/>
    <w:rsid w:val="00616A79"/>
    <w:rsid w:val="00637176"/>
    <w:rsid w:val="006375C0"/>
    <w:rsid w:val="00646734"/>
    <w:rsid w:val="00665B20"/>
    <w:rsid w:val="0067699C"/>
    <w:rsid w:val="006863CE"/>
    <w:rsid w:val="006A0923"/>
    <w:rsid w:val="006A49C8"/>
    <w:rsid w:val="006B1E6C"/>
    <w:rsid w:val="006B7F19"/>
    <w:rsid w:val="007130B3"/>
    <w:rsid w:val="00714FBC"/>
    <w:rsid w:val="007278F8"/>
    <w:rsid w:val="007311F1"/>
    <w:rsid w:val="00765B9F"/>
    <w:rsid w:val="00777766"/>
    <w:rsid w:val="00781ECB"/>
    <w:rsid w:val="00785815"/>
    <w:rsid w:val="00785AE1"/>
    <w:rsid w:val="00786C6E"/>
    <w:rsid w:val="007900E7"/>
    <w:rsid w:val="00792B69"/>
    <w:rsid w:val="00793FB0"/>
    <w:rsid w:val="007A68F7"/>
    <w:rsid w:val="007C257D"/>
    <w:rsid w:val="007C779C"/>
    <w:rsid w:val="007D0AC3"/>
    <w:rsid w:val="007D1EB7"/>
    <w:rsid w:val="007E709D"/>
    <w:rsid w:val="007F6010"/>
    <w:rsid w:val="00826C4E"/>
    <w:rsid w:val="00827B6C"/>
    <w:rsid w:val="00830F26"/>
    <w:rsid w:val="00834A61"/>
    <w:rsid w:val="008434B3"/>
    <w:rsid w:val="00856BB1"/>
    <w:rsid w:val="008E1980"/>
    <w:rsid w:val="00900CBE"/>
    <w:rsid w:val="00902F55"/>
    <w:rsid w:val="009051DA"/>
    <w:rsid w:val="0090623A"/>
    <w:rsid w:val="00924A3C"/>
    <w:rsid w:val="009436B3"/>
    <w:rsid w:val="00960E4F"/>
    <w:rsid w:val="00960F0E"/>
    <w:rsid w:val="009611CB"/>
    <w:rsid w:val="0097475F"/>
    <w:rsid w:val="00983792"/>
    <w:rsid w:val="00983E53"/>
    <w:rsid w:val="00995E30"/>
    <w:rsid w:val="009A02D6"/>
    <w:rsid w:val="009A1D71"/>
    <w:rsid w:val="009A4F6A"/>
    <w:rsid w:val="009C5A33"/>
    <w:rsid w:val="009C7892"/>
    <w:rsid w:val="009F4F99"/>
    <w:rsid w:val="00A052DC"/>
    <w:rsid w:val="00A11F4B"/>
    <w:rsid w:val="00A4158C"/>
    <w:rsid w:val="00A42E40"/>
    <w:rsid w:val="00A452EC"/>
    <w:rsid w:val="00A5274F"/>
    <w:rsid w:val="00A56D5F"/>
    <w:rsid w:val="00A65099"/>
    <w:rsid w:val="00A71E3A"/>
    <w:rsid w:val="00A857A6"/>
    <w:rsid w:val="00A94BC9"/>
    <w:rsid w:val="00AA309A"/>
    <w:rsid w:val="00AA7713"/>
    <w:rsid w:val="00AB4FDF"/>
    <w:rsid w:val="00AD60EA"/>
    <w:rsid w:val="00B536AF"/>
    <w:rsid w:val="00B95E67"/>
    <w:rsid w:val="00BA1BA8"/>
    <w:rsid w:val="00BD338F"/>
    <w:rsid w:val="00BE35D2"/>
    <w:rsid w:val="00BE57C3"/>
    <w:rsid w:val="00C067EC"/>
    <w:rsid w:val="00C543C4"/>
    <w:rsid w:val="00C66E1A"/>
    <w:rsid w:val="00C84A82"/>
    <w:rsid w:val="00C96205"/>
    <w:rsid w:val="00CA5929"/>
    <w:rsid w:val="00CD0C58"/>
    <w:rsid w:val="00CD4A16"/>
    <w:rsid w:val="00CD4B20"/>
    <w:rsid w:val="00CE492F"/>
    <w:rsid w:val="00CF73D8"/>
    <w:rsid w:val="00D040F2"/>
    <w:rsid w:val="00D230C5"/>
    <w:rsid w:val="00D26F7E"/>
    <w:rsid w:val="00D467CB"/>
    <w:rsid w:val="00D62083"/>
    <w:rsid w:val="00D644FC"/>
    <w:rsid w:val="00D724C1"/>
    <w:rsid w:val="00D72815"/>
    <w:rsid w:val="00D85FA4"/>
    <w:rsid w:val="00D87C03"/>
    <w:rsid w:val="00D914B2"/>
    <w:rsid w:val="00D95A9A"/>
    <w:rsid w:val="00DA1D10"/>
    <w:rsid w:val="00DB1640"/>
    <w:rsid w:val="00DB1A77"/>
    <w:rsid w:val="00DB6225"/>
    <w:rsid w:val="00DC578D"/>
    <w:rsid w:val="00E03B57"/>
    <w:rsid w:val="00E36DA3"/>
    <w:rsid w:val="00E63957"/>
    <w:rsid w:val="00E851D8"/>
    <w:rsid w:val="00E91B37"/>
    <w:rsid w:val="00E94B0A"/>
    <w:rsid w:val="00E96FAD"/>
    <w:rsid w:val="00EF261E"/>
    <w:rsid w:val="00EF2B79"/>
    <w:rsid w:val="00F04976"/>
    <w:rsid w:val="00F22ED7"/>
    <w:rsid w:val="00F26586"/>
    <w:rsid w:val="00F2660A"/>
    <w:rsid w:val="00F27DCC"/>
    <w:rsid w:val="00F33ABB"/>
    <w:rsid w:val="00F35D59"/>
    <w:rsid w:val="00F60500"/>
    <w:rsid w:val="00F739A1"/>
    <w:rsid w:val="00FA1CEE"/>
    <w:rsid w:val="00FA7817"/>
    <w:rsid w:val="00FB6B7E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99EC8C"/>
  <w15:chartTrackingRefBased/>
  <w15:docId w15:val="{42A8FC7B-FD8A-4B73-A1BB-54D1AFAA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3F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1477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C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064"/>
  </w:style>
  <w:style w:type="paragraph" w:styleId="Zpat">
    <w:name w:val="footer"/>
    <w:basedOn w:val="Normln"/>
    <w:link w:val="ZpatChar"/>
    <w:uiPriority w:val="99"/>
    <w:unhideWhenUsed/>
    <w:rsid w:val="002C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064"/>
  </w:style>
  <w:style w:type="character" w:styleId="Odkaznakoment">
    <w:name w:val="annotation reference"/>
    <w:basedOn w:val="Standardnpsmoodstavce"/>
    <w:uiPriority w:val="99"/>
    <w:semiHidden/>
    <w:unhideWhenUsed/>
    <w:rsid w:val="003F0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03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03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3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35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35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C211D"/>
    <w:pPr>
      <w:spacing w:after="0" w:line="240" w:lineRule="auto"/>
    </w:p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34"/>
    <w:qFormat/>
    <w:locked/>
    <w:rsid w:val="005B23F9"/>
  </w:style>
  <w:style w:type="character" w:styleId="Siln">
    <w:name w:val="Strong"/>
    <w:uiPriority w:val="22"/>
    <w:qFormat/>
    <w:rsid w:val="00E94B0A"/>
    <w:rPr>
      <w:rFonts w:ascii="Times New Roman" w:hAnsi="Times New Roman" w:cs="Times New Roman" w:hint="default"/>
      <w:b/>
      <w:bCs/>
      <w:sz w:val="24"/>
    </w:rPr>
  </w:style>
  <w:style w:type="character" w:styleId="Hypertextovodkaz">
    <w:name w:val="Hyperlink"/>
    <w:uiPriority w:val="99"/>
    <w:unhideWhenUsed/>
    <w:rsid w:val="00E03B57"/>
    <w:rPr>
      <w:color w:val="0000FF"/>
      <w:u w:val="single"/>
    </w:rPr>
  </w:style>
  <w:style w:type="paragraph" w:customStyle="1" w:styleId="paragraph">
    <w:name w:val="paragraph"/>
    <w:basedOn w:val="Normln"/>
    <w:rsid w:val="00022AD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normaltextrun">
    <w:name w:val="normaltextrun"/>
    <w:basedOn w:val="Standardnpsmoodstavce"/>
    <w:rsid w:val="00022ADA"/>
  </w:style>
  <w:style w:type="character" w:styleId="Nevyeenzmnka">
    <w:name w:val="Unresolved Mention"/>
    <w:basedOn w:val="Standardnpsmoodstavce"/>
    <w:uiPriority w:val="99"/>
    <w:semiHidden/>
    <w:unhideWhenUsed/>
    <w:rsid w:val="00EF2B79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1D6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D6D01"/>
    <w:rPr>
      <w:rFonts w:ascii="Courier New" w:eastAsia="Calibri" w:hAnsi="Courier New" w:cs="Courier New"/>
      <w:sz w:val="20"/>
      <w:szCs w:val="20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1D6D01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="Calibri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1D6D01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57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826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40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08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06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35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2B3B73EFFAB40AF84EE66DFEA41C0" ma:contentTypeVersion="4" ma:contentTypeDescription="Vytvoří nový dokument" ma:contentTypeScope="" ma:versionID="de59a91d311553481a62866d317e0624">
  <xsd:schema xmlns:xsd="http://www.w3.org/2001/XMLSchema" xmlns:xs="http://www.w3.org/2001/XMLSchema" xmlns:p="http://schemas.microsoft.com/office/2006/metadata/properties" xmlns:ns2="38cd6e4d-5dd8-4a61-954f-38fc67208553" targetNamespace="http://schemas.microsoft.com/office/2006/metadata/properties" ma:root="true" ma:fieldsID="9084a3b82c6ef65cf93495e8859777ab" ns2:_="">
    <xsd:import namespace="38cd6e4d-5dd8-4a61-954f-38fc6720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e4d-5dd8-4a61-954f-38fc6720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D0681-C92D-47ED-8F83-744C49A59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D89D3-6069-417D-91EC-985462EC0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EE7C8F-FEDB-4DD7-8119-2B8E10394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e4d-5dd8-4a61-954f-38fc6720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CD5FAB-87D5-4ADC-9A67-7C2F622E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1030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Hudák</dc:creator>
  <cp:keywords/>
  <dc:description/>
  <cp:lastModifiedBy>Drahomíra Moravcová</cp:lastModifiedBy>
  <cp:revision>6</cp:revision>
  <cp:lastPrinted>2024-04-22T12:15:00Z</cp:lastPrinted>
  <dcterms:created xsi:type="dcterms:W3CDTF">2025-04-11T08:03:00Z</dcterms:created>
  <dcterms:modified xsi:type="dcterms:W3CDTF">2025-04-14T13:29:00Z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6ac9fb77ed16444e9a3681a11d2c77b864611211eda232b17b80154524126c78</vt:lpwstr>
  </property>
  <property fmtid="{D5CDD505-2E9C-101B-9397-08002B2CF9AE}" pid="3" name="ContentTypeId">
    <vt:lpwstr>0x0101000582B3B73EFFAB40AF84EE66DFEA41C0</vt:lpwstr>
  </property>
</Properties>
</file>