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6A7D7BE3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004B10">
        <w:rPr>
          <w:rFonts w:ascii="Cambria" w:hAnsi="Cambria"/>
          <w:sz w:val="20"/>
          <w:lang w:val="cs-CZ"/>
        </w:rPr>
        <w:t>UK2LF</w:t>
      </w:r>
      <w:r w:rsidR="00004B10" w:rsidRPr="005F5923">
        <w:rPr>
          <w:rFonts w:ascii="Cambria" w:hAnsi="Cambria"/>
          <w:sz w:val="20"/>
          <w:lang w:val="cs-CZ"/>
        </w:rPr>
        <w:t>/</w:t>
      </w:r>
      <w:r w:rsidR="005F5923" w:rsidRPr="005F5923">
        <w:rPr>
          <w:rFonts w:ascii="Cambria" w:hAnsi="Cambria"/>
          <w:sz w:val="20"/>
          <w:lang w:val="cs-CZ"/>
        </w:rPr>
        <w:t>184903/2025</w:t>
      </w:r>
    </w:p>
    <w:p w14:paraId="5032CF52" w14:textId="6F1876AC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80897" w:rsidRPr="004D7EFF">
        <w:rPr>
          <w:rFonts w:ascii="Cambria" w:hAnsi="Cambria"/>
          <w:sz w:val="20"/>
          <w:lang w:val="cs-CZ"/>
        </w:rPr>
        <w:t xml:space="preserve"> </w:t>
      </w:r>
      <w:r w:rsidR="004433A7" w:rsidRPr="004433A7">
        <w:rPr>
          <w:rFonts w:ascii="Cambria" w:hAnsi="Cambria"/>
          <w:sz w:val="20"/>
          <w:highlight w:val="yellow"/>
          <w:lang w:val="cs-CZ"/>
        </w:rPr>
        <w:t>[VYPLNÍ DODAVATEL]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DE0C8F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4D7EFF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4D7EFF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Prodávající:</w:t>
      </w:r>
    </w:p>
    <w:p w14:paraId="31F86D5C" w14:textId="6BFB7C42" w:rsidR="00287FBD" w:rsidRPr="004D7EFF" w:rsidRDefault="004433A7" w:rsidP="00292EDB">
      <w:pPr>
        <w:rPr>
          <w:rFonts w:ascii="Cambria" w:hAnsi="Cambria"/>
          <w:b/>
          <w:sz w:val="20"/>
          <w:szCs w:val="20"/>
        </w:rPr>
      </w:pPr>
      <w:r w:rsidRPr="004433A7">
        <w:rPr>
          <w:rFonts w:ascii="Cambria" w:hAnsi="Cambria"/>
          <w:sz w:val="20"/>
          <w:highlight w:val="yellow"/>
        </w:rPr>
        <w:t>[VYPLNÍ DODAVATEL]</w:t>
      </w:r>
    </w:p>
    <w:p w14:paraId="22882AA8" w14:textId="5F08D95F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Sídlo</w:t>
      </w:r>
      <w:r w:rsidR="00CF72A4" w:rsidRPr="004D7EFF">
        <w:rPr>
          <w:rFonts w:ascii="Cambria" w:hAnsi="Cambria"/>
          <w:sz w:val="20"/>
          <w:szCs w:val="20"/>
        </w:rPr>
        <w:t>/místo podnikání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5CD92667" w14:textId="419DCF74" w:rsidR="00287FBD" w:rsidRPr="004D7EFF" w:rsidRDefault="00287FBD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Korespondenční adresa: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11A3202D" w14:textId="12A3CD20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Zastoupen:</w:t>
      </w:r>
      <w:r w:rsidR="004433A7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A162142" w14:textId="4093BC62" w:rsidR="003E56DB" w:rsidRPr="004D7EFF" w:rsidRDefault="00D125D9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3E56DB" w:rsidRPr="004D7EFF">
        <w:rPr>
          <w:rFonts w:ascii="Cambria" w:hAnsi="Cambria"/>
          <w:sz w:val="20"/>
          <w:szCs w:val="20"/>
        </w:rPr>
        <w:t>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E06C2AE" w14:textId="555CC5F3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DIČ: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64678804" w14:textId="36FD37C2" w:rsidR="008F5748" w:rsidRPr="004D7EFF" w:rsidRDefault="008F5748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ID datové schránky: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2D9F690" w14:textId="45669217" w:rsidR="00287FBD" w:rsidRPr="004D7EFF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Bankovní spojení</w:t>
      </w:r>
      <w:r w:rsidR="00C64D25" w:rsidRPr="004D7EFF">
        <w:rPr>
          <w:rFonts w:ascii="Cambria" w:hAnsi="Cambria"/>
          <w:sz w:val="20"/>
          <w:szCs w:val="20"/>
        </w:rPr>
        <w:t>, č. účtu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  <w:r w:rsidR="004433A7">
        <w:rPr>
          <w:rFonts w:ascii="Cambria" w:hAnsi="Cambria"/>
          <w:sz w:val="20"/>
          <w:highlight w:val="yellow"/>
        </w:rPr>
        <w:t xml:space="preserve"> (POZN.: </w:t>
      </w:r>
      <w:r w:rsidR="000E0267" w:rsidRPr="004D7EFF">
        <w:rPr>
          <w:rFonts w:ascii="Cambria" w:hAnsi="Cambria"/>
          <w:sz w:val="20"/>
          <w:szCs w:val="20"/>
          <w:highlight w:val="yellow"/>
        </w:rPr>
        <w:t>V PŘÍPADĚ, ŽE JE PLÁTCEM DPH, VYPLNÍ BANKOVNÍ ÚČET, KTERÝ JE UVEŘEJNĚN V REGISTRU PLÁTCŮ DPH</w:t>
      </w:r>
    </w:p>
    <w:p w14:paraId="2ED4EED8" w14:textId="011CD6E1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Registrace:</w:t>
      </w:r>
      <w:r w:rsidR="000E0267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700C952E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 xml:space="preserve">dodávka a instalace </w:t>
      </w:r>
      <w:r w:rsidR="00873157" w:rsidRPr="00873157">
        <w:rPr>
          <w:rFonts w:ascii="Cambria" w:hAnsi="Cambria"/>
          <w:bCs/>
          <w:sz w:val="20"/>
          <w:szCs w:val="20"/>
        </w:rPr>
        <w:t>medicínsk</w:t>
      </w:r>
      <w:r w:rsidR="00873157">
        <w:rPr>
          <w:rFonts w:ascii="Cambria" w:hAnsi="Cambria"/>
          <w:bCs/>
          <w:sz w:val="20"/>
          <w:szCs w:val="20"/>
        </w:rPr>
        <w:t>ého</w:t>
      </w:r>
      <w:r w:rsidR="00873157" w:rsidRPr="00873157">
        <w:rPr>
          <w:rFonts w:ascii="Cambria" w:hAnsi="Cambria"/>
          <w:bCs/>
          <w:sz w:val="20"/>
          <w:szCs w:val="20"/>
        </w:rPr>
        <w:t xml:space="preserve"> výukov</w:t>
      </w:r>
      <w:r w:rsidR="00873157">
        <w:rPr>
          <w:rFonts w:ascii="Cambria" w:hAnsi="Cambria"/>
          <w:bCs/>
          <w:sz w:val="20"/>
          <w:szCs w:val="20"/>
        </w:rPr>
        <w:t>ého</w:t>
      </w:r>
      <w:r w:rsidR="00873157" w:rsidRPr="00873157">
        <w:rPr>
          <w:rFonts w:ascii="Cambria" w:hAnsi="Cambria"/>
          <w:bCs/>
          <w:sz w:val="20"/>
          <w:szCs w:val="20"/>
        </w:rPr>
        <w:t xml:space="preserve"> simulátor</w:t>
      </w:r>
      <w:r w:rsidR="00873157">
        <w:rPr>
          <w:rFonts w:ascii="Cambria" w:hAnsi="Cambria"/>
          <w:bCs/>
          <w:sz w:val="20"/>
          <w:szCs w:val="20"/>
        </w:rPr>
        <w:t>u</w:t>
      </w:r>
      <w:r w:rsidR="00873157" w:rsidRPr="00873157">
        <w:rPr>
          <w:rFonts w:ascii="Cambria" w:hAnsi="Cambria"/>
          <w:bCs/>
          <w:sz w:val="20"/>
          <w:szCs w:val="20"/>
        </w:rPr>
        <w:t xml:space="preserve"> zavádění jehel pomocí ultrazvukového zobrazovače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314FB326" w:rsidR="005F5923" w:rsidRPr="005F5923" w:rsidRDefault="00E54978" w:rsidP="005F5923">
      <w:pPr>
        <w:pStyle w:val="FormtovanvHTML"/>
        <w:ind w:left="284"/>
        <w:jc w:val="both"/>
        <w:rPr>
          <w:rFonts w:ascii="Cambria" w:eastAsia="Arial" w:hAnsi="Cambria"/>
          <w:b/>
          <w:bCs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bookmarkStart w:id="2" w:name="_Hlk152767944"/>
      <w:proofErr w:type="spellStart"/>
      <w:r w:rsidR="00873157" w:rsidRPr="00873157">
        <w:rPr>
          <w:rFonts w:ascii="Cambria" w:eastAsia="Arial" w:hAnsi="Cambria"/>
          <w:b/>
          <w:bCs/>
        </w:rPr>
        <w:t>Needle</w:t>
      </w:r>
      <w:proofErr w:type="spellEnd"/>
      <w:r w:rsidR="00873157" w:rsidRPr="00873157">
        <w:rPr>
          <w:rFonts w:ascii="Cambria" w:eastAsia="Arial" w:hAnsi="Cambria"/>
          <w:b/>
          <w:bCs/>
        </w:rPr>
        <w:t xml:space="preserve"> </w:t>
      </w:r>
      <w:proofErr w:type="spellStart"/>
      <w:r w:rsidR="00873157" w:rsidRPr="00873157">
        <w:rPr>
          <w:rFonts w:ascii="Cambria" w:eastAsia="Arial" w:hAnsi="Cambria"/>
          <w:b/>
          <w:bCs/>
        </w:rPr>
        <w:t>Trainer</w:t>
      </w:r>
      <w:proofErr w:type="spellEnd"/>
      <w:r w:rsidR="00873157" w:rsidRPr="00873157">
        <w:rPr>
          <w:rFonts w:ascii="Cambria" w:eastAsia="Arial" w:hAnsi="Cambria"/>
          <w:b/>
          <w:bCs/>
        </w:rPr>
        <w:t xml:space="preserve"> – výukový simulátor zavádění jehel pomocí ultrazvukové navigace</w:t>
      </w:r>
      <w:bookmarkEnd w:id="2"/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>v rámci zadávacího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“).</w:t>
      </w:r>
      <w:r w:rsidR="00A943A0" w:rsidRPr="005F5923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5F5923">
        <w:rPr>
          <w:rFonts w:ascii="Cambria" w:eastAsia="Arial" w:hAnsi="Cambria"/>
          <w:b/>
          <w:bCs/>
        </w:rPr>
        <w:t xml:space="preserve">OP </w:t>
      </w:r>
      <w:r w:rsidR="005F5923" w:rsidRPr="005F5923">
        <w:rPr>
          <w:rFonts w:ascii="Cambria" w:eastAsia="Arial" w:hAnsi="Cambria"/>
          <w:b/>
          <w:bCs/>
        </w:rPr>
        <w:t xml:space="preserve">JAK, ERDF kvalita na UK, </w:t>
      </w:r>
      <w:proofErr w:type="spellStart"/>
      <w:r w:rsidR="005F5923" w:rsidRPr="005F5923">
        <w:rPr>
          <w:rFonts w:ascii="Cambria" w:eastAsia="Arial" w:hAnsi="Cambria"/>
          <w:b/>
          <w:bCs/>
        </w:rPr>
        <w:t>reg</w:t>
      </w:r>
      <w:proofErr w:type="spellEnd"/>
      <w:r w:rsidR="005F5923" w:rsidRPr="005F5923">
        <w:rPr>
          <w:rFonts w:ascii="Cambria" w:eastAsia="Arial" w:hAnsi="Cambria"/>
          <w:b/>
          <w:bCs/>
        </w:rPr>
        <w:t xml:space="preserve">. číslo projektu </w:t>
      </w:r>
      <w:bookmarkStart w:id="3" w:name="_Hlk193367381"/>
      <w:r w:rsidR="005F5923" w:rsidRPr="005F5923">
        <w:rPr>
          <w:rFonts w:ascii="Cambria" w:eastAsia="Arial" w:hAnsi="Cambria"/>
          <w:b/>
          <w:bCs/>
        </w:rPr>
        <w:t>CZ.02.02.01/00/23_023/0009064</w:t>
      </w:r>
      <w:bookmarkEnd w:id="3"/>
      <w:r w:rsidR="005F5923" w:rsidRPr="005F5923">
        <w:rPr>
          <w:rFonts w:ascii="Cambria" w:eastAsia="Arial" w:hAnsi="Cambria"/>
          <w:b/>
          <w:bCs/>
        </w:rPr>
        <w:t>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500991DF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implementace a připojení všech uvedených komponent, instruktáž a zaškolení obsluhy dle příslušné právní úpravy vč. zkušebního provozu </w:t>
      </w:r>
      <w:r w:rsidR="00932ED2" w:rsidRPr="00E53C41">
        <w:rPr>
          <w:rFonts w:ascii="Cambria" w:hAnsi="Cambria" w:cs="Arial"/>
          <w:bCs/>
          <w:sz w:val="20"/>
          <w:szCs w:val="20"/>
        </w:rPr>
        <w:t>předmětu plnění</w:t>
      </w:r>
      <w:r w:rsidR="00932ED2" w:rsidRPr="00E53C41">
        <w:rPr>
          <w:rFonts w:ascii="Cambria" w:hAnsi="Cambria"/>
          <w:sz w:val="20"/>
          <w:szCs w:val="20"/>
        </w:rPr>
        <w:t xml:space="preserve"> v místě plnění</w:t>
      </w:r>
      <w:r w:rsidR="00414F26" w:rsidRPr="00E53C41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4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4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65DB2BED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 xml:space="preserve">protokolu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DB8EFE5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řádně a včas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rodávajícího převzít a zaplatit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Default="00A57255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588AFE9A" w14:textId="77777777" w:rsidR="008707AD" w:rsidRPr="004D7EFF" w:rsidRDefault="008707AD" w:rsidP="008707A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</w:p>
    <w:p w14:paraId="41857889" w14:textId="3CF38885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bez DPH</w:t>
      </w:r>
    </w:p>
    <w:p w14:paraId="65C93C11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597339D6" w14:textId="74124BA3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% DPH</w:t>
      </w:r>
    </w:p>
    <w:p w14:paraId="7CECA8E4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27371D63" w14:textId="1E183CA0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DPH</w:t>
      </w:r>
    </w:p>
    <w:p w14:paraId="22DA7B1A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E7035CC" w14:textId="15B078E4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4D7EFF">
        <w:rPr>
          <w:rFonts w:ascii="Cambria" w:hAnsi="Cambria"/>
          <w:sz w:val="20"/>
          <w:szCs w:val="20"/>
        </w:rPr>
        <w:t>mlouvy</w:t>
      </w:r>
      <w:proofErr w:type="spellEnd"/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4321F09A" w14:textId="77777777" w:rsidR="00DE0C8F" w:rsidRDefault="00DE0C8F" w:rsidP="00DE0C8F">
      <w:pPr>
        <w:pStyle w:val="Odstavecseseznamem"/>
        <w:rPr>
          <w:rFonts w:ascii="Cambria" w:hAnsi="Cambria"/>
          <w:sz w:val="20"/>
          <w:szCs w:val="20"/>
        </w:rPr>
      </w:pPr>
    </w:p>
    <w:p w14:paraId="00AEBB05" w14:textId="4D211710" w:rsidR="00DE0C8F" w:rsidRPr="008707AD" w:rsidRDefault="00DE0C8F" w:rsidP="00DE0C8F">
      <w:pPr>
        <w:numPr>
          <w:ilvl w:val="0"/>
          <w:numId w:val="5"/>
        </w:num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8707AD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„Financováno </w:t>
      </w:r>
      <w:r w:rsidR="00E05859" w:rsidRPr="008707AD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na UK,</w:t>
      </w:r>
      <w:r w:rsidRPr="008707AD">
        <w:rPr>
          <w:rFonts w:ascii="Cambria" w:hAnsi="Cambria"/>
          <w:b/>
          <w:sz w:val="20"/>
          <w:szCs w:val="20"/>
          <w:u w:val="single"/>
        </w:rPr>
        <w:t xml:space="preserve"> registrační číslo projektu: CZ.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8707AD">
        <w:rPr>
          <w:rFonts w:ascii="Cambria" w:hAnsi="Cambria"/>
          <w:b/>
          <w:sz w:val="20"/>
          <w:szCs w:val="20"/>
          <w:u w:val="single"/>
        </w:rPr>
        <w:t>“. Fakturu, která nebude obsahovat toto označení, není Kupující povinen proplatit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31A28701" w14:textId="77777777" w:rsidR="00DE0C8F" w:rsidRPr="008707AD" w:rsidRDefault="00DE0C8F" w:rsidP="00DE0C8F">
      <w:pPr>
        <w:ind w:left="284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0F3CC3A9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 xml:space="preserve">v elektronické podobě na e-mail: </w:t>
      </w:r>
      <w:hyperlink r:id="rId11" w:history="1">
        <w:r w:rsidR="00646D52" w:rsidRPr="0077158F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bookmarkStart w:id="5" w:name="_GoBack"/>
      <w:bookmarkEnd w:id="5"/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hyperlink r:id="rId12" w:history="1">
        <w:r w:rsidR="00E05859" w:rsidRPr="00383B35">
          <w:rPr>
            <w:rStyle w:val="Hypertextovodkaz"/>
            <w:rFonts w:ascii="Cambria" w:hAnsi="Cambria"/>
            <w:sz w:val="20"/>
            <w:szCs w:val="20"/>
          </w:rPr>
          <w:t>drahomira.moravcova@lfmotol.cuni.cz</w:t>
        </w:r>
      </w:hyperlink>
      <w:r w:rsidR="00341230">
        <w:rPr>
          <w:rFonts w:ascii="Cambria" w:hAnsi="Cambria"/>
          <w:sz w:val="20"/>
          <w:szCs w:val="20"/>
        </w:rPr>
        <w:t xml:space="preserve"> 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4D7EFF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6FB74D5C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t xml:space="preserve">Prodávající se zavazuje nejpozději </w:t>
      </w:r>
      <w:r w:rsidR="00F12F3A" w:rsidRPr="00873157">
        <w:rPr>
          <w:rFonts w:ascii="Cambria" w:hAnsi="Cambria"/>
          <w:bCs/>
          <w:sz w:val="20"/>
          <w:szCs w:val="20"/>
        </w:rPr>
        <w:t>d</w:t>
      </w:r>
      <w:r w:rsidR="00033430" w:rsidRPr="00873157">
        <w:rPr>
          <w:rFonts w:ascii="Cambria" w:hAnsi="Cambria"/>
          <w:bCs/>
          <w:sz w:val="20"/>
          <w:szCs w:val="20"/>
        </w:rPr>
        <w:t>o</w:t>
      </w:r>
      <w:r w:rsidR="00AB06A9" w:rsidRPr="00873157">
        <w:rPr>
          <w:rFonts w:ascii="Cambria" w:hAnsi="Cambria"/>
          <w:bCs/>
          <w:sz w:val="20"/>
          <w:szCs w:val="20"/>
        </w:rPr>
        <w:t xml:space="preserve"> </w:t>
      </w:r>
      <w:r w:rsidR="00873157" w:rsidRPr="00873157">
        <w:rPr>
          <w:rFonts w:ascii="Cambria" w:hAnsi="Cambria"/>
          <w:bCs/>
          <w:sz w:val="20"/>
        </w:rPr>
        <w:t>9</w:t>
      </w:r>
      <w:r w:rsidR="00065719" w:rsidRPr="00873157">
        <w:rPr>
          <w:rFonts w:ascii="Cambria" w:hAnsi="Cambria"/>
          <w:bCs/>
          <w:sz w:val="20"/>
        </w:rPr>
        <w:t xml:space="preserve">0 </w:t>
      </w:r>
      <w:r w:rsidR="004E061E" w:rsidRPr="00873157">
        <w:rPr>
          <w:rFonts w:ascii="Cambria" w:hAnsi="Cambria"/>
          <w:bCs/>
          <w:sz w:val="20"/>
          <w:szCs w:val="20"/>
        </w:rPr>
        <w:t>d</w:t>
      </w:r>
      <w:r w:rsidR="00EF432E" w:rsidRPr="00873157">
        <w:rPr>
          <w:rFonts w:ascii="Cambria" w:hAnsi="Cambria"/>
          <w:bCs/>
          <w:sz w:val="20"/>
          <w:szCs w:val="20"/>
        </w:rPr>
        <w:t>nů</w:t>
      </w:r>
      <w:r w:rsidR="004173EF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ode dne účinnosti této S</w:t>
      </w:r>
      <w:r w:rsidRPr="00873157">
        <w:rPr>
          <w:rFonts w:ascii="Cambria" w:hAnsi="Cambria"/>
          <w:bCs/>
          <w:sz w:val="20"/>
          <w:szCs w:val="20"/>
        </w:rPr>
        <w:t>mlouvy,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</w:t>
      </w:r>
      <w:r w:rsidR="00CB7825" w:rsidRPr="004D7EFF">
        <w:rPr>
          <w:rFonts w:ascii="Cambria" w:hAnsi="Cambria"/>
          <w:sz w:val="20"/>
          <w:szCs w:val="20"/>
        </w:rPr>
        <w:lastRenderedPageBreak/>
        <w:t xml:space="preserve">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>
        <w:rPr>
          <w:rFonts w:ascii="Cambria" w:hAnsi="Cambria"/>
          <w:bCs/>
          <w:sz w:val="20"/>
          <w:szCs w:val="20"/>
        </w:rPr>
        <w:t>ust</w:t>
      </w:r>
      <w:proofErr w:type="spellEnd"/>
      <w:r w:rsidR="0010321F">
        <w:rPr>
          <w:rFonts w:ascii="Cambria" w:hAnsi="Cambria"/>
          <w:bCs/>
          <w:sz w:val="20"/>
          <w:szCs w:val="20"/>
        </w:rPr>
        <w:t>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266E3797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 xml:space="preserve">Prodávající se zavazuje na své náklady a nebezpečí dodat zboží do následujícího místa plnění: </w:t>
      </w:r>
      <w:hyperlink r:id="rId13" w:history="1">
        <w:r w:rsidR="00873157" w:rsidRPr="00341230">
          <w:rPr>
            <w:rFonts w:ascii="Cambria" w:hAnsi="Cambria"/>
            <w:sz w:val="20"/>
            <w:szCs w:val="20"/>
          </w:rPr>
          <w:t>Klinika anesteziologie, resuscitace a intenzivní medicíny</w:t>
        </w:r>
      </w:hyperlink>
      <w:r w:rsidR="00873157" w:rsidRPr="00341230">
        <w:rPr>
          <w:rFonts w:ascii="Cambria" w:hAnsi="Cambria"/>
          <w:sz w:val="20"/>
          <w:szCs w:val="20"/>
        </w:rPr>
        <w:t xml:space="preserve">, </w:t>
      </w:r>
      <w:r w:rsidR="00341230">
        <w:rPr>
          <w:rFonts w:ascii="Cambria" w:hAnsi="Cambria"/>
          <w:sz w:val="20"/>
          <w:szCs w:val="20"/>
        </w:rPr>
        <w:t>V Úvalu 84,</w:t>
      </w:r>
      <w:r w:rsidRPr="00341230">
        <w:rPr>
          <w:rFonts w:ascii="Cambria" w:hAnsi="Cambria"/>
          <w:sz w:val="20"/>
          <w:szCs w:val="20"/>
        </w:rPr>
        <w:t xml:space="preserve"> 150 00 Praha 5 – Motol.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4C5320A1" w14:textId="0D518D0C" w:rsidR="00797C50" w:rsidRPr="00E41941" w:rsidRDefault="003E56DB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  <w:r w:rsidR="00E54978" w:rsidRPr="004D7EFF">
        <w:rPr>
          <w:rFonts w:ascii="Cambria" w:hAnsi="Cambria"/>
          <w:sz w:val="20"/>
          <w:szCs w:val="20"/>
        </w:rPr>
        <w:t xml:space="preserve"> </w:t>
      </w:r>
      <w:r w:rsidR="00F261D3" w:rsidRPr="00E53C41">
        <w:rPr>
          <w:rFonts w:ascii="Cambria" w:hAnsi="Cambria"/>
          <w:sz w:val="20"/>
          <w:szCs w:val="20"/>
        </w:rPr>
        <w:t xml:space="preserve">pan/ paní: </w:t>
      </w:r>
      <w:r w:rsidR="00C958E9" w:rsidRPr="00C958E9">
        <w:rPr>
          <w:rFonts w:ascii="Cambria" w:hAnsi="Cambria"/>
          <w:sz w:val="20"/>
          <w:szCs w:val="20"/>
          <w:highlight w:val="cyan"/>
        </w:rPr>
        <w:t>………</w:t>
      </w:r>
      <w:proofErr w:type="gramStart"/>
      <w:r w:rsidR="00C958E9" w:rsidRPr="00C958E9">
        <w:rPr>
          <w:rFonts w:ascii="Cambria" w:hAnsi="Cambria"/>
          <w:sz w:val="20"/>
          <w:szCs w:val="20"/>
          <w:highlight w:val="cyan"/>
        </w:rPr>
        <w:t>…….</w:t>
      </w:r>
      <w:proofErr w:type="gramEnd"/>
      <w:r w:rsidR="00065719" w:rsidRPr="00E53C41">
        <w:rPr>
          <w:rFonts w:ascii="Cambria" w:hAnsi="Cambria"/>
          <w:sz w:val="20"/>
          <w:szCs w:val="20"/>
        </w:rPr>
        <w:t xml:space="preserve">, </w:t>
      </w:r>
      <w:r w:rsidR="00F261D3" w:rsidRPr="00E53C41">
        <w:rPr>
          <w:rFonts w:ascii="Cambria" w:hAnsi="Cambria"/>
          <w:sz w:val="20"/>
          <w:szCs w:val="20"/>
        </w:rPr>
        <w:t>tel.:</w:t>
      </w:r>
      <w:r w:rsidR="005F5923">
        <w:rPr>
          <w:rFonts w:ascii="Cambria" w:hAnsi="Cambria"/>
          <w:sz w:val="20"/>
          <w:szCs w:val="20"/>
        </w:rPr>
        <w:t>…..</w:t>
      </w:r>
      <w:r w:rsidR="00065719" w:rsidRPr="00065719">
        <w:rPr>
          <w:rFonts w:ascii="Cambria" w:hAnsi="Cambria"/>
          <w:sz w:val="20"/>
          <w:szCs w:val="20"/>
        </w:rPr>
        <w:t xml:space="preserve"> </w:t>
      </w:r>
      <w:r w:rsidR="00C958E9" w:rsidRPr="00C958E9">
        <w:rPr>
          <w:rFonts w:ascii="Cambria" w:hAnsi="Cambria"/>
          <w:sz w:val="20"/>
          <w:szCs w:val="20"/>
          <w:highlight w:val="cyan"/>
        </w:rPr>
        <w:t>…</w:t>
      </w:r>
      <w:r w:rsidR="00F261D3" w:rsidRPr="00C958E9">
        <w:rPr>
          <w:rFonts w:ascii="Cambria" w:hAnsi="Cambria"/>
          <w:sz w:val="20"/>
          <w:szCs w:val="20"/>
          <w:highlight w:val="cyan"/>
        </w:rPr>
        <w:t>,</w:t>
      </w:r>
      <w:r w:rsidR="00F261D3" w:rsidRPr="00E53C41">
        <w:rPr>
          <w:rFonts w:ascii="Cambria" w:hAnsi="Cambria"/>
          <w:sz w:val="20"/>
          <w:szCs w:val="20"/>
        </w:rPr>
        <w:t xml:space="preserve"> e-mail: </w:t>
      </w:r>
      <w:r w:rsidR="00C958E9" w:rsidRPr="00C958E9">
        <w:rPr>
          <w:rFonts w:ascii="Cambria" w:hAnsi="Cambria"/>
          <w:sz w:val="20"/>
          <w:szCs w:val="20"/>
          <w:highlight w:val="cyan"/>
        </w:rPr>
        <w:t>….</w:t>
      </w:r>
      <w:r w:rsidR="00C958E9" w:rsidRPr="00065719">
        <w:rPr>
          <w:rFonts w:ascii="Cambria" w:hAnsi="Cambria"/>
          <w:sz w:val="20"/>
          <w:szCs w:val="20"/>
        </w:rPr>
        <w:t xml:space="preserve"> </w:t>
      </w:r>
      <w:r w:rsidR="00065719" w:rsidRPr="00065719">
        <w:rPr>
          <w:rFonts w:ascii="Cambria" w:hAnsi="Cambria"/>
          <w:sz w:val="20"/>
          <w:szCs w:val="20"/>
        </w:rPr>
        <w:t>@lfmotol.cuni.cz</w:t>
      </w:r>
      <w:r w:rsidR="00F261D3" w:rsidRPr="00065719">
        <w:rPr>
          <w:rFonts w:ascii="Cambria" w:hAnsi="Cambria"/>
          <w:sz w:val="20"/>
          <w:szCs w:val="20"/>
        </w:rPr>
        <w:t xml:space="preserve"> </w:t>
      </w:r>
      <w:r w:rsidR="00414F26" w:rsidRPr="00065719">
        <w:rPr>
          <w:rFonts w:ascii="Cambria" w:hAnsi="Cambria"/>
          <w:i/>
          <w:iCs/>
          <w:sz w:val="20"/>
          <w:szCs w:val="20"/>
        </w:rPr>
        <w:t>(</w:t>
      </w:r>
      <w:hyperlink r:id="rId14" w:history="1">
        <w:r w:rsidR="00797C50" w:rsidRPr="00065719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797C50" w:rsidRPr="00065719">
        <w:rPr>
          <w:rFonts w:ascii="Cambria" w:hAnsi="Cambria"/>
          <w:i/>
          <w:iCs/>
          <w:sz w:val="20"/>
          <w:szCs w:val="20"/>
        </w:rPr>
        <w:t xml:space="preserve"> kupující před podpisem této kupní smlouvy</w:t>
      </w:r>
      <w:r w:rsidR="00414F26" w:rsidRPr="00065719">
        <w:rPr>
          <w:rFonts w:ascii="Cambria" w:hAnsi="Cambria"/>
          <w:i/>
          <w:iCs/>
          <w:sz w:val="20"/>
          <w:szCs w:val="20"/>
        </w:rPr>
        <w:t>)</w:t>
      </w:r>
      <w:r w:rsidR="00AC456F" w:rsidRPr="00065719">
        <w:rPr>
          <w:rFonts w:ascii="Cambria" w:hAnsi="Cambria"/>
          <w:i/>
          <w:iCs/>
          <w:sz w:val="20"/>
          <w:szCs w:val="20"/>
        </w:rPr>
        <w:t>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</w:t>
      </w:r>
      <w:proofErr w:type="gramStart"/>
      <w:r w:rsidR="007D5335" w:rsidRPr="004D7EFF">
        <w:rPr>
          <w:rFonts w:ascii="Cambria" w:hAnsi="Cambria"/>
          <w:sz w:val="20"/>
          <w:szCs w:val="20"/>
        </w:rPr>
        <w:t xml:space="preserve">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proofErr w:type="gramEnd"/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2CA8497F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FA4F68">
        <w:rPr>
          <w:rFonts w:ascii="Cambria" w:hAnsi="Cambria"/>
          <w:sz w:val="20"/>
          <w:szCs w:val="20"/>
        </w:rPr>
        <w:t xml:space="preserve"> občanského zákoníku poskytuje P</w:t>
      </w:r>
      <w:r w:rsidRPr="00FA4F68">
        <w:rPr>
          <w:rFonts w:ascii="Cambria" w:hAnsi="Cambria"/>
          <w:sz w:val="20"/>
          <w:szCs w:val="20"/>
        </w:rPr>
        <w:t xml:space="preserve">rodávající </w:t>
      </w:r>
      <w:r w:rsidRPr="00FA4F68">
        <w:rPr>
          <w:rFonts w:ascii="Cambria" w:hAnsi="Cambria"/>
          <w:b/>
          <w:bCs/>
          <w:sz w:val="20"/>
          <w:szCs w:val="20"/>
        </w:rPr>
        <w:t xml:space="preserve">záruku za jakost zboží v délce </w:t>
      </w:r>
      <w:r w:rsidR="009C4C07" w:rsidRPr="00FA4F68">
        <w:rPr>
          <w:rFonts w:ascii="Cambria" w:hAnsi="Cambria"/>
          <w:sz w:val="20"/>
          <w:highlight w:val="yellow"/>
        </w:rPr>
        <w:t>[VYPLNÍ DODAVATEL]</w:t>
      </w:r>
      <w:r w:rsidR="00F453EF" w:rsidRPr="00FA4F68">
        <w:rPr>
          <w:rFonts w:ascii="Cambria" w:hAnsi="Cambria"/>
          <w:sz w:val="20"/>
          <w:szCs w:val="20"/>
        </w:rPr>
        <w:t xml:space="preserve"> </w:t>
      </w:r>
      <w:r w:rsidRPr="00FA4F68">
        <w:rPr>
          <w:rFonts w:ascii="Cambria" w:hAnsi="Cambria"/>
          <w:b/>
          <w:bCs/>
          <w:sz w:val="20"/>
          <w:szCs w:val="20"/>
        </w:rPr>
        <w:t>měsíců – bude doplněno dle nabídky prodávajícího</w:t>
      </w:r>
      <w:r w:rsidRPr="00FA4F68">
        <w:rPr>
          <w:rFonts w:ascii="Cambria" w:hAnsi="Cambria"/>
          <w:i/>
          <w:iCs/>
          <w:sz w:val="20"/>
          <w:szCs w:val="20"/>
        </w:rPr>
        <w:t xml:space="preserve"> (min. požadováno </w:t>
      </w:r>
      <w:r w:rsidR="00E53C41">
        <w:rPr>
          <w:rFonts w:ascii="Cambria" w:hAnsi="Cambria"/>
          <w:i/>
          <w:iCs/>
          <w:sz w:val="20"/>
          <w:szCs w:val="20"/>
        </w:rPr>
        <w:t>24</w:t>
      </w:r>
      <w:r w:rsidRPr="00FA4F68">
        <w:rPr>
          <w:rFonts w:ascii="Cambria" w:hAnsi="Cambria"/>
          <w:i/>
          <w:iCs/>
          <w:sz w:val="20"/>
          <w:szCs w:val="20"/>
        </w:rPr>
        <w:t xml:space="preserve"> měsíců) </w:t>
      </w:r>
      <w:r w:rsidRPr="00FA4F68">
        <w:rPr>
          <w:rFonts w:ascii="Cambria" w:hAnsi="Cambria"/>
          <w:sz w:val="20"/>
          <w:szCs w:val="20"/>
        </w:rPr>
        <w:t>ode dne následujícího po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449A6824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375E9C6A" w14:textId="3907895B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289043A5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(reklamace) K</w:t>
      </w:r>
      <w:r w:rsidR="0063120A" w:rsidRPr="004D7EFF">
        <w:rPr>
          <w:rFonts w:ascii="Cambria" w:hAnsi="Cambria"/>
          <w:sz w:val="20"/>
          <w:szCs w:val="20"/>
        </w:rPr>
        <w:t xml:space="preserve">upujícímu písemně potvrdit </w:t>
      </w:r>
      <w:r w:rsidR="0063120A">
        <w:rPr>
          <w:rFonts w:ascii="Cambria" w:hAnsi="Cambria"/>
          <w:sz w:val="20"/>
          <w:szCs w:val="20"/>
        </w:rPr>
        <w:t xml:space="preserve">do 24 hodin </w:t>
      </w:r>
      <w:r w:rsidR="0063120A" w:rsidRPr="004D7EFF">
        <w:rPr>
          <w:rFonts w:ascii="Cambria" w:hAnsi="Cambria"/>
          <w:sz w:val="20"/>
          <w:szCs w:val="20"/>
        </w:rPr>
        <w:t xml:space="preserve">po jejím obdržení na kontaktní e-mailovou </w:t>
      </w:r>
      <w:r w:rsidR="0063120A" w:rsidRPr="00E53C41">
        <w:rPr>
          <w:rFonts w:ascii="Cambria" w:hAnsi="Cambria"/>
          <w:sz w:val="20"/>
          <w:szCs w:val="20"/>
        </w:rPr>
        <w:t xml:space="preserve">adresu </w:t>
      </w:r>
      <w:r w:rsidR="00FA4F68" w:rsidRPr="00E53C41">
        <w:rPr>
          <w:rFonts w:ascii="Cambria" w:hAnsi="Cambria"/>
          <w:sz w:val="20"/>
          <w:szCs w:val="20"/>
        </w:rPr>
        <w:t xml:space="preserve">pan/ paní: </w:t>
      </w:r>
      <w:r w:rsidR="009360AA" w:rsidRPr="00E53C41">
        <w:rPr>
          <w:rFonts w:ascii="Cambria" w:hAnsi="Cambria"/>
          <w:sz w:val="20"/>
          <w:szCs w:val="20"/>
        </w:rPr>
        <w:t xml:space="preserve">pan/ paní: </w:t>
      </w:r>
      <w:r w:rsidR="009360AA" w:rsidRPr="00C958E9">
        <w:rPr>
          <w:rFonts w:ascii="Cambria" w:hAnsi="Cambria"/>
          <w:sz w:val="20"/>
          <w:szCs w:val="20"/>
          <w:highlight w:val="cyan"/>
        </w:rPr>
        <w:t>………</w:t>
      </w:r>
      <w:proofErr w:type="gramStart"/>
      <w:r w:rsidR="009360AA" w:rsidRPr="00C958E9">
        <w:rPr>
          <w:rFonts w:ascii="Cambria" w:hAnsi="Cambria"/>
          <w:sz w:val="20"/>
          <w:szCs w:val="20"/>
          <w:highlight w:val="cyan"/>
        </w:rPr>
        <w:t>…….</w:t>
      </w:r>
      <w:proofErr w:type="gramEnd"/>
      <w:r w:rsidR="009360AA" w:rsidRPr="00E53C41">
        <w:rPr>
          <w:rFonts w:ascii="Cambria" w:hAnsi="Cambria"/>
          <w:sz w:val="20"/>
          <w:szCs w:val="20"/>
        </w:rPr>
        <w:t xml:space="preserve">, tel.: </w:t>
      </w:r>
      <w:r w:rsidR="009360AA" w:rsidRPr="00065719">
        <w:rPr>
          <w:rFonts w:ascii="Cambria" w:hAnsi="Cambria"/>
          <w:sz w:val="20"/>
          <w:szCs w:val="20"/>
        </w:rPr>
        <w:t xml:space="preserve">257 296 </w:t>
      </w:r>
      <w:r w:rsidR="009360AA" w:rsidRPr="00C958E9">
        <w:rPr>
          <w:rFonts w:ascii="Cambria" w:hAnsi="Cambria"/>
          <w:sz w:val="20"/>
          <w:szCs w:val="20"/>
          <w:highlight w:val="cyan"/>
        </w:rPr>
        <w:t>…,</w:t>
      </w:r>
      <w:r w:rsidR="009360AA" w:rsidRPr="00E53C41">
        <w:rPr>
          <w:rFonts w:ascii="Cambria" w:hAnsi="Cambria"/>
          <w:sz w:val="20"/>
          <w:szCs w:val="20"/>
        </w:rPr>
        <w:t xml:space="preserve"> e-mail: </w:t>
      </w:r>
      <w:r w:rsidR="009360AA" w:rsidRPr="00C958E9">
        <w:rPr>
          <w:rFonts w:ascii="Cambria" w:hAnsi="Cambria"/>
          <w:sz w:val="20"/>
          <w:szCs w:val="20"/>
          <w:highlight w:val="cyan"/>
        </w:rPr>
        <w:t>….</w:t>
      </w:r>
      <w:r w:rsidR="009360AA" w:rsidRPr="00065719">
        <w:rPr>
          <w:rFonts w:ascii="Cambria" w:hAnsi="Cambria"/>
          <w:sz w:val="20"/>
          <w:szCs w:val="20"/>
        </w:rPr>
        <w:t xml:space="preserve"> @lfmotol.cuni.cz </w:t>
      </w:r>
      <w:r w:rsidR="009360AA" w:rsidRPr="00065719">
        <w:rPr>
          <w:rFonts w:ascii="Cambria" w:hAnsi="Cambria"/>
          <w:i/>
          <w:iCs/>
          <w:sz w:val="20"/>
          <w:szCs w:val="20"/>
        </w:rPr>
        <w:t>(</w:t>
      </w:r>
      <w:hyperlink r:id="rId15" w:history="1">
        <w:r w:rsidR="009360AA" w:rsidRPr="00065719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9360AA" w:rsidRPr="00065719">
        <w:rPr>
          <w:rFonts w:ascii="Cambria" w:hAnsi="Cambria"/>
          <w:i/>
          <w:iCs/>
          <w:sz w:val="20"/>
          <w:szCs w:val="20"/>
        </w:rPr>
        <w:t xml:space="preserve"> kupující před podpisem této kupní smlouvy).</w:t>
      </w:r>
      <w:r w:rsidR="009360AA">
        <w:rPr>
          <w:rFonts w:ascii="Cambria" w:hAnsi="Cambria"/>
          <w:sz w:val="20"/>
          <w:szCs w:val="20"/>
        </w:rPr>
        <w:t xml:space="preserve"> </w:t>
      </w:r>
      <w:r w:rsidR="0063120A" w:rsidRPr="009360AA">
        <w:rPr>
          <w:rFonts w:ascii="Cambria" w:hAnsi="Cambria"/>
          <w:sz w:val="20"/>
          <w:szCs w:val="20"/>
        </w:rPr>
        <w:t>Oznámení o vadě je považováno za výzvu k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>
        <w:rPr>
          <w:rFonts w:ascii="Cambria" w:hAnsi="Cambria"/>
          <w:sz w:val="20"/>
          <w:szCs w:val="20"/>
        </w:rPr>
        <w:t>.</w:t>
      </w:r>
      <w:r w:rsidRPr="0063120A">
        <w:rPr>
          <w:rFonts w:ascii="Cambria" w:hAnsi="Cambria"/>
          <w:sz w:val="20"/>
          <w:szCs w:val="20"/>
        </w:rPr>
        <w:t xml:space="preserve">  </w:t>
      </w:r>
      <w:r w:rsidR="00286858" w:rsidRPr="0063120A">
        <w:rPr>
          <w:rFonts w:ascii="Cambria" w:hAnsi="Cambria"/>
          <w:sz w:val="20"/>
          <w:szCs w:val="20"/>
        </w:rPr>
        <w:t>Vady, které se</w:t>
      </w:r>
      <w:r w:rsidR="00541730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63120A">
        <w:rPr>
          <w:rFonts w:ascii="Cambria" w:hAnsi="Cambria"/>
          <w:sz w:val="20"/>
          <w:szCs w:val="20"/>
        </w:rPr>
        <w:t>rodávající odstranit</w:t>
      </w:r>
      <w:r w:rsidR="00286858" w:rsidRPr="004D7EFF">
        <w:rPr>
          <w:rFonts w:ascii="Cambria" w:hAnsi="Cambria"/>
          <w:sz w:val="20"/>
          <w:szCs w:val="20"/>
        </w:rPr>
        <w:t xml:space="preserve"> na vlastní náklady ve </w:t>
      </w:r>
      <w:r w:rsidR="00286858" w:rsidRPr="00FA4F68">
        <w:rPr>
          <w:rFonts w:ascii="Cambria" w:hAnsi="Cambria"/>
          <w:sz w:val="20"/>
          <w:szCs w:val="20"/>
        </w:rPr>
        <w:t xml:space="preserve">lhůtě do </w:t>
      </w:r>
      <w:r w:rsidR="00FA4F68" w:rsidRPr="00FA4F68">
        <w:rPr>
          <w:rFonts w:ascii="Cambria" w:hAnsi="Cambria"/>
          <w:sz w:val="20"/>
          <w:szCs w:val="20"/>
        </w:rPr>
        <w:t>sedmi (7)</w:t>
      </w:r>
      <w:r w:rsidR="008039D8" w:rsidRPr="00FA4F68">
        <w:rPr>
          <w:rFonts w:ascii="Cambria" w:hAnsi="Cambria"/>
          <w:sz w:val="20"/>
          <w:szCs w:val="20"/>
        </w:rPr>
        <w:t xml:space="preserve"> </w:t>
      </w:r>
      <w:r w:rsidR="00F261D3" w:rsidRPr="004D7EFF">
        <w:rPr>
          <w:rFonts w:ascii="Cambria" w:hAnsi="Cambria"/>
          <w:sz w:val="20"/>
          <w:szCs w:val="20"/>
        </w:rPr>
        <w:t>pracovních</w:t>
      </w:r>
      <w:r w:rsidR="00082ABB" w:rsidRPr="004D7EFF">
        <w:rPr>
          <w:rFonts w:ascii="Cambria" w:hAnsi="Cambria"/>
          <w:sz w:val="20"/>
          <w:szCs w:val="20"/>
        </w:rPr>
        <w:t xml:space="preserve"> dnů</w:t>
      </w:r>
      <w:r w:rsidR="0067735C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od jejich oznámení K</w:t>
      </w:r>
      <w:r w:rsidR="00286858" w:rsidRPr="004D7EFF">
        <w:rPr>
          <w:rFonts w:ascii="Cambria" w:hAnsi="Cambria"/>
          <w:sz w:val="20"/>
          <w:szCs w:val="20"/>
        </w:rPr>
        <w:t>upujícím</w:t>
      </w:r>
      <w:r w:rsidR="008039D8">
        <w:rPr>
          <w:rFonts w:ascii="Cambria" w:hAnsi="Cambria"/>
          <w:sz w:val="20"/>
          <w:szCs w:val="20"/>
        </w:rPr>
        <w:t>, nebude-li</w:t>
      </w:r>
      <w:r w:rsidR="009445CB">
        <w:rPr>
          <w:rFonts w:ascii="Cambria" w:hAnsi="Cambria"/>
          <w:sz w:val="20"/>
          <w:szCs w:val="20"/>
        </w:rPr>
        <w:t xml:space="preserve"> mezi smluvními stranami </w:t>
      </w:r>
      <w:r w:rsidR="008039D8">
        <w:rPr>
          <w:rFonts w:ascii="Cambria" w:hAnsi="Cambria"/>
          <w:sz w:val="20"/>
          <w:szCs w:val="20"/>
        </w:rPr>
        <w:t>písemně dohodnuto jinak</w:t>
      </w:r>
      <w:r w:rsidR="00286858" w:rsidRPr="004D7EFF">
        <w:rPr>
          <w:rFonts w:ascii="Cambria" w:hAnsi="Cambria"/>
          <w:sz w:val="20"/>
          <w:szCs w:val="20"/>
        </w:rPr>
        <w:t>.</w:t>
      </w:r>
      <w:r w:rsidR="00164FCD" w:rsidRPr="00164FCD">
        <w:rPr>
          <w:color w:val="FF0000"/>
          <w:lang w:eastAsia="cs-CZ"/>
        </w:rPr>
        <w:t xml:space="preserve"> </w:t>
      </w:r>
      <w:r w:rsidR="0019446E" w:rsidRPr="0019446E">
        <w:rPr>
          <w:rFonts w:ascii="Cambria" w:hAnsi="Cambria"/>
          <w:sz w:val="20"/>
          <w:szCs w:val="20"/>
        </w:rPr>
        <w:t>O</w:t>
      </w:r>
      <w:r w:rsidR="00286858" w:rsidRPr="0019446E">
        <w:rPr>
          <w:rFonts w:ascii="Cambria" w:hAnsi="Cambria"/>
          <w:sz w:val="20"/>
          <w:szCs w:val="20"/>
        </w:rPr>
        <w:t xml:space="preserve">dstranění vad zboží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>
        <w:rPr>
          <w:rFonts w:ascii="Cambria" w:hAnsi="Cambria"/>
          <w:sz w:val="20"/>
          <w:szCs w:val="20"/>
        </w:rPr>
        <w:t>lem odstranění vad zboží, nese P</w:t>
      </w:r>
      <w:r w:rsidR="00286858" w:rsidRPr="0019446E">
        <w:rPr>
          <w:rFonts w:ascii="Cambria" w:hAnsi="Cambria"/>
          <w:sz w:val="20"/>
          <w:szCs w:val="20"/>
        </w:rPr>
        <w:t>rodávající. Prodávající je povinen odstrani</w:t>
      </w:r>
      <w:r w:rsidR="00541730">
        <w:rPr>
          <w:rFonts w:ascii="Cambria" w:hAnsi="Cambria"/>
          <w:sz w:val="20"/>
          <w:szCs w:val="20"/>
        </w:rPr>
        <w:t>t vady na své náklady tak, aby K</w:t>
      </w:r>
      <w:r w:rsidR="00286858" w:rsidRPr="0019446E">
        <w:rPr>
          <w:rFonts w:ascii="Cambria" w:hAnsi="Cambria"/>
          <w:sz w:val="20"/>
          <w:szCs w:val="20"/>
        </w:rPr>
        <w:t>upujícímu nevznik</w:t>
      </w:r>
      <w:r w:rsidR="00541730">
        <w:rPr>
          <w:rFonts w:ascii="Cambria" w:hAnsi="Cambria"/>
          <w:sz w:val="20"/>
          <w:szCs w:val="20"/>
        </w:rPr>
        <w:t>ly žádné vícenáklady. Jestliže K</w:t>
      </w:r>
      <w:r w:rsidR="00286858" w:rsidRPr="0019446E">
        <w:rPr>
          <w:rFonts w:ascii="Cambria" w:hAnsi="Cambria"/>
          <w:sz w:val="20"/>
          <w:szCs w:val="20"/>
        </w:rPr>
        <w:t xml:space="preserve">upujícímu vícenáklady </w:t>
      </w:r>
      <w:r w:rsidR="00B70A76" w:rsidRPr="0019446E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19446E">
        <w:rPr>
          <w:rFonts w:ascii="Cambria" w:hAnsi="Cambria"/>
          <w:sz w:val="20"/>
          <w:szCs w:val="20"/>
        </w:rPr>
        <w:t xml:space="preserve">přesto vzniknou, hradí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rodávající. O odstranění vady bude sepsán protokol, který podepíší obě smluvní st</w:t>
      </w:r>
      <w:r w:rsidR="00541730">
        <w:rPr>
          <w:rFonts w:ascii="Cambria" w:hAnsi="Cambria"/>
          <w:sz w:val="20"/>
          <w:szCs w:val="20"/>
        </w:rPr>
        <w:t>rany, návrh protokolu připraví P</w:t>
      </w:r>
      <w:r w:rsidR="00286858" w:rsidRPr="0019446E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</w:t>
      </w:r>
      <w:proofErr w:type="gramStart"/>
      <w:r w:rsidR="009445CB" w:rsidRPr="0026166C">
        <w:rPr>
          <w:rFonts w:ascii="Cambria" w:hAnsi="Cambria"/>
          <w:sz w:val="20"/>
          <w:szCs w:val="20"/>
        </w:rPr>
        <w:t>právo</w:t>
      </w:r>
      <w:proofErr w:type="gramEnd"/>
      <w:r w:rsidR="009445CB" w:rsidRPr="0026166C">
        <w:rPr>
          <w:rFonts w:ascii="Cambria" w:hAnsi="Cambria"/>
          <w:sz w:val="20"/>
          <w:szCs w:val="20"/>
        </w:rPr>
        <w:t xml:space="preserve">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proofErr w:type="spellStart"/>
      <w:r w:rsidR="00C4340E" w:rsidRPr="0026166C">
        <w:rPr>
          <w:rFonts w:ascii="Cambria" w:hAnsi="Cambria"/>
          <w:sz w:val="20"/>
          <w:szCs w:val="20"/>
        </w:rPr>
        <w:t>čl</w:t>
      </w:r>
      <w:proofErr w:type="spellEnd"/>
      <w:r w:rsidR="00C4340E" w:rsidRPr="0026166C">
        <w:rPr>
          <w:rFonts w:ascii="Cambria" w:hAnsi="Cambria"/>
          <w:sz w:val="20"/>
          <w:szCs w:val="20"/>
        </w:rPr>
        <w:t>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2935A92" w14:textId="39288666" w:rsidR="00964679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 </w:t>
      </w:r>
      <w:r w:rsidR="003E56DB" w:rsidRPr="004D7EFF">
        <w:rPr>
          <w:rFonts w:ascii="Cambria" w:hAnsi="Cambria"/>
          <w:sz w:val="20"/>
          <w:szCs w:val="20"/>
        </w:rPr>
        <w:t xml:space="preserve">Prodávající se zavazuje, že </w:t>
      </w:r>
      <w:r w:rsidR="00541730">
        <w:rPr>
          <w:rFonts w:ascii="Cambria" w:hAnsi="Cambria"/>
          <w:sz w:val="20"/>
          <w:szCs w:val="20"/>
        </w:rPr>
        <w:t>K</w:t>
      </w:r>
      <w:r w:rsidR="003E56DB" w:rsidRPr="004D7EFF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>
        <w:rPr>
          <w:rFonts w:ascii="Cambria" w:hAnsi="Cambria"/>
          <w:sz w:val="20"/>
          <w:szCs w:val="20"/>
        </w:rPr>
        <w:t xml:space="preserve">pěti </w:t>
      </w:r>
      <w:r w:rsidR="00FA4F68">
        <w:rPr>
          <w:rFonts w:ascii="Cambria" w:hAnsi="Cambria"/>
          <w:sz w:val="20"/>
          <w:szCs w:val="20"/>
        </w:rPr>
        <w:t>(</w:t>
      </w:r>
      <w:r w:rsidR="009360AA">
        <w:rPr>
          <w:rFonts w:ascii="Cambria" w:hAnsi="Cambria"/>
          <w:sz w:val="20"/>
          <w:szCs w:val="20"/>
        </w:rPr>
        <w:t>5</w:t>
      </w:r>
      <w:r w:rsidR="00FA4F68">
        <w:rPr>
          <w:rFonts w:ascii="Cambria" w:hAnsi="Cambria"/>
          <w:sz w:val="20"/>
          <w:szCs w:val="20"/>
        </w:rPr>
        <w:t xml:space="preserve">) </w:t>
      </w:r>
      <w:r w:rsidR="00783EC2" w:rsidRPr="004D7EFF">
        <w:rPr>
          <w:rFonts w:ascii="Cambria" w:hAnsi="Cambria"/>
          <w:sz w:val="20"/>
          <w:szCs w:val="20"/>
        </w:rPr>
        <w:t>let</w:t>
      </w:r>
      <w:r w:rsidR="003E56DB" w:rsidRPr="004D7EFF">
        <w:rPr>
          <w:rFonts w:ascii="Cambria" w:hAnsi="Cambria"/>
          <w:sz w:val="20"/>
          <w:szCs w:val="20"/>
        </w:rPr>
        <w:t xml:space="preserve"> od</w:t>
      </w:r>
      <w:r w:rsidR="008C26CF" w:rsidRPr="004D7EFF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4D7EFF">
        <w:rPr>
          <w:rFonts w:ascii="Cambria" w:hAnsi="Cambria"/>
          <w:sz w:val="20"/>
          <w:szCs w:val="20"/>
        </w:rPr>
        <w:t>,</w:t>
      </w:r>
      <w:r w:rsidR="008C26CF" w:rsidRPr="004D7EFF">
        <w:rPr>
          <w:rFonts w:ascii="Cambria" w:hAnsi="Cambria"/>
          <w:sz w:val="20"/>
          <w:szCs w:val="20"/>
        </w:rPr>
        <w:t xml:space="preserve"> a to </w:t>
      </w:r>
      <w:r w:rsidR="003E56DB" w:rsidRPr="004D7EFF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369132D5" w14:textId="51ADCA25" w:rsidR="00C4340E" w:rsidRPr="004D7EFF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2DD5D44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</w:t>
      </w:r>
      <w:proofErr w:type="gramStart"/>
      <w:r w:rsidR="003E56DB" w:rsidRPr="004D7EFF">
        <w:rPr>
          <w:rFonts w:ascii="Cambria" w:hAnsi="Cambria"/>
          <w:sz w:val="20"/>
          <w:szCs w:val="20"/>
        </w:rPr>
        <w:t xml:space="preserve">výši </w:t>
      </w:r>
      <w:r w:rsidR="00535035" w:rsidRPr="004D7EFF">
        <w:rPr>
          <w:rFonts w:ascii="Cambria" w:hAnsi="Cambria"/>
          <w:sz w:val="20"/>
          <w:szCs w:val="20"/>
        </w:rPr>
        <w:t xml:space="preserve"> </w:t>
      </w:r>
      <w:r w:rsidR="00F05F8C" w:rsidRPr="00FA4F68">
        <w:rPr>
          <w:rFonts w:ascii="Cambria" w:hAnsi="Cambria"/>
          <w:sz w:val="20"/>
          <w:szCs w:val="20"/>
        </w:rPr>
        <w:t>0</w:t>
      </w:r>
      <w:proofErr w:type="gramEnd"/>
      <w:r w:rsidR="00F05F8C" w:rsidRPr="00FA4F68">
        <w:rPr>
          <w:rFonts w:ascii="Cambria" w:hAnsi="Cambria"/>
          <w:sz w:val="20"/>
          <w:szCs w:val="20"/>
        </w:rPr>
        <w:t>,2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71EC27C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proofErr w:type="gramStart"/>
      <w:r w:rsidR="0063120A" w:rsidRPr="00F05F8C">
        <w:rPr>
          <w:rFonts w:ascii="Cambria" w:hAnsi="Cambria"/>
          <w:sz w:val="20"/>
          <w:szCs w:val="20"/>
        </w:rPr>
        <w:t xml:space="preserve">prodlení </w:t>
      </w:r>
      <w:r w:rsidRPr="00F05F8C">
        <w:rPr>
          <w:rFonts w:ascii="Cambria" w:hAnsi="Cambria"/>
          <w:sz w:val="20"/>
          <w:szCs w:val="20"/>
        </w:rPr>
        <w:t> </w:t>
      </w:r>
      <w:r w:rsidR="0063120A" w:rsidRPr="00F05F8C">
        <w:rPr>
          <w:rFonts w:ascii="Cambria" w:hAnsi="Cambria"/>
          <w:sz w:val="20"/>
          <w:szCs w:val="20"/>
        </w:rPr>
        <w:t>s</w:t>
      </w:r>
      <w:proofErr w:type="gramEnd"/>
      <w:r w:rsidR="0063120A" w:rsidRPr="00F05F8C">
        <w:rPr>
          <w:rFonts w:ascii="Cambria" w:hAnsi="Cambria"/>
          <w:sz w:val="20"/>
          <w:szCs w:val="20"/>
        </w:rPr>
        <w:t xml:space="preserve">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4F571F" w:rsidRPr="00FA4F68">
        <w:rPr>
          <w:rFonts w:ascii="Cambria" w:hAnsi="Cambria" w:cs="Calibri"/>
          <w:sz w:val="20"/>
          <w:szCs w:val="20"/>
        </w:rPr>
        <w:t xml:space="preserve">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1DFBD670" w14:textId="77777777" w:rsidR="00E82E19" w:rsidRDefault="00E82E19" w:rsidP="00E82E19">
      <w:pPr>
        <w:pStyle w:val="Odstavecseseznamem"/>
        <w:rPr>
          <w:rFonts w:ascii="Cambria" w:hAnsi="Cambria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Pr="004D7EFF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0170ECC0" w14:textId="7CAE3F83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 xml:space="preserve">mlouvy získala od druhé smluvní strany. To neplatí, mají-li být za účelem plnění smlouvy potřebné informace zpřístupněny zaměstnancům, orgánům nebo jejich členům, kteří se podílejí na plnění dle smlouvy za </w:t>
      </w:r>
      <w:r w:rsidRPr="004D7EFF">
        <w:rPr>
          <w:rFonts w:ascii="Cambria" w:hAnsi="Cambria"/>
          <w:sz w:val="20"/>
          <w:szCs w:val="20"/>
        </w:rPr>
        <w:lastRenderedPageBreak/>
        <w:t>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64372856" w14:textId="77777777" w:rsidR="00FF69B8" w:rsidRPr="004D7EFF" w:rsidRDefault="00FF69B8" w:rsidP="00FF69B8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 xml:space="preserve">Bez předchozího písemného souhlasu není příjemce údajů oprávněn přenést na třetí osobu ani část svých povinností týkajících </w:t>
      </w:r>
      <w:proofErr w:type="gramStart"/>
      <w:r w:rsidRPr="00493553">
        <w:rPr>
          <w:rFonts w:ascii="Cambria" w:hAnsi="Cambria"/>
          <w:sz w:val="20"/>
          <w:szCs w:val="20"/>
        </w:rPr>
        <w:t>se</w:t>
      </w:r>
      <w:proofErr w:type="gramEnd"/>
      <w:r w:rsidRPr="00493553">
        <w:rPr>
          <w:rFonts w:ascii="Cambria" w:hAnsi="Cambria"/>
          <w:sz w:val="20"/>
          <w:szCs w:val="20"/>
        </w:rPr>
        <w:t xml:space="preserve">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4D7EFF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0632BE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v souladu se zásadami společensky odpovědného zadávání veřejných zakázek. </w:t>
      </w:r>
      <w:r w:rsidRPr="004D7EFF">
        <w:rPr>
          <w:rFonts w:ascii="Cambria" w:eastAsia="Calibri" w:hAnsi="Cambria" w:cs="Calibri"/>
          <w:sz w:val="20"/>
          <w:szCs w:val="20"/>
        </w:rPr>
        <w:t>P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4D7EFF">
        <w:rPr>
          <w:rFonts w:ascii="Cambria" w:eastAsia="Calibri" w:hAnsi="Cambria" w:cs="Calibri"/>
          <w:sz w:val="20"/>
          <w:szCs w:val="20"/>
        </w:rPr>
        <w:t>se zava</w:t>
      </w:r>
      <w:r w:rsidR="000632BE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4D7EFF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hAnsi="Cambria" w:cs="Calibri"/>
          <w:sz w:val="20"/>
          <w:szCs w:val="20"/>
        </w:rPr>
        <w:t xml:space="preserve"> </w:t>
      </w:r>
      <w:r w:rsidR="00872C9D" w:rsidRPr="004D7EFF">
        <w:rPr>
          <w:rFonts w:ascii="Cambria" w:hAnsi="Cambria" w:cs="Calibri"/>
          <w:sz w:val="20"/>
          <w:szCs w:val="20"/>
        </w:rPr>
        <w:t>se dále zava</w:t>
      </w:r>
      <w:r w:rsidR="000632BE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5CC50EE" w14:textId="77777777" w:rsidR="00AA171C" w:rsidRPr="00577E71" w:rsidRDefault="00AA171C" w:rsidP="00AA171C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80994E5" w14:textId="1835F851" w:rsidR="00885D30" w:rsidRPr="00577E71" w:rsidRDefault="00885D30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77E71">
        <w:rPr>
          <w:rFonts w:ascii="Cambria" w:hAnsi="Cambria" w:cs="Calibri"/>
          <w:sz w:val="20"/>
          <w:szCs w:val="20"/>
        </w:rPr>
        <w:t xml:space="preserve">Počet </w:t>
      </w:r>
      <w:r w:rsidR="00577E71" w:rsidRPr="00577E71">
        <w:rPr>
          <w:rFonts w:ascii="Cambria" w:hAnsi="Cambria" w:cs="Calibri"/>
          <w:sz w:val="20"/>
          <w:szCs w:val="20"/>
        </w:rPr>
        <w:t xml:space="preserve">povinných </w:t>
      </w:r>
      <w:r w:rsidRPr="00577E71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072323BC" w14:textId="77777777" w:rsidR="00885D30" w:rsidRPr="00E53C41" w:rsidRDefault="00885D30" w:rsidP="00885D30">
      <w:pPr>
        <w:jc w:val="both"/>
        <w:rPr>
          <w:rFonts w:ascii="Cambria" w:hAnsi="Cambria" w:cs="Calibri"/>
          <w:sz w:val="20"/>
          <w:szCs w:val="20"/>
        </w:rPr>
      </w:pPr>
    </w:p>
    <w:p w14:paraId="50E6CECE" w14:textId="4DD800F3" w:rsidR="00885D30" w:rsidRPr="00E53C41" w:rsidRDefault="00885D30" w:rsidP="00E53C41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E53C41">
        <w:rPr>
          <w:rFonts w:ascii="Cambria" w:hAnsi="Cambria" w:cs="Calibri"/>
          <w:sz w:val="20"/>
          <w:szCs w:val="20"/>
        </w:rPr>
        <w:t>servisní údržby</w:t>
      </w:r>
      <w:r w:rsidR="000632BE" w:rsidRPr="00E53C41">
        <w:rPr>
          <w:rFonts w:ascii="Cambria" w:hAnsi="Cambria" w:cs="Calibri"/>
          <w:sz w:val="20"/>
          <w:szCs w:val="20"/>
        </w:rPr>
        <w:t xml:space="preserve"> je </w:t>
      </w:r>
      <w:r w:rsidR="00BB414F" w:rsidRPr="00E53C41">
        <w:rPr>
          <w:rFonts w:ascii="Cambria" w:hAnsi="Cambria"/>
          <w:sz w:val="20"/>
          <w:highlight w:val="yellow"/>
        </w:rPr>
        <w:t>[VYPLNÍ DODAVATEL]</w:t>
      </w:r>
      <w:r w:rsidRPr="00E53C41">
        <w:rPr>
          <w:rFonts w:ascii="Cambria" w:hAnsi="Cambria" w:cs="Calibri"/>
          <w:sz w:val="20"/>
          <w:szCs w:val="20"/>
        </w:rPr>
        <w:t xml:space="preserve"> hodin. Při </w:t>
      </w:r>
      <w:r w:rsidR="000632BE" w:rsidRPr="00E53C41">
        <w:rPr>
          <w:rFonts w:ascii="Cambria" w:hAnsi="Cambria" w:cs="Calibri"/>
          <w:sz w:val="20"/>
          <w:szCs w:val="20"/>
        </w:rPr>
        <w:t>servisní údržbě Prodávající po dohodě s K</w:t>
      </w:r>
      <w:r w:rsidRPr="00E53C41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>
        <w:rPr>
          <w:rFonts w:ascii="Cambria" w:hAnsi="Cambria" w:cs="Calibri"/>
          <w:sz w:val="20"/>
          <w:szCs w:val="20"/>
        </w:rPr>
        <w:t>, které vyžadují výměnu z důvodu vady, opotřebení, nebo z důvodu nedostatečné funkce</w:t>
      </w:r>
      <w:r w:rsidRPr="00E53C41">
        <w:rPr>
          <w:rFonts w:ascii="Cambria" w:hAnsi="Cambria" w:cs="Calibri"/>
          <w:sz w:val="20"/>
          <w:szCs w:val="20"/>
        </w:rPr>
        <w:t xml:space="preserve">. O </w:t>
      </w:r>
      <w:r w:rsidR="000632BE" w:rsidRPr="00E53C41">
        <w:rPr>
          <w:rFonts w:ascii="Cambria" w:hAnsi="Cambria" w:cs="Calibri"/>
          <w:sz w:val="20"/>
          <w:szCs w:val="20"/>
        </w:rPr>
        <w:t>servisní údržbě bude P</w:t>
      </w:r>
      <w:r w:rsidRPr="00E53C41">
        <w:rPr>
          <w:rFonts w:ascii="Cambria" w:hAnsi="Cambria" w:cs="Calibri"/>
          <w:sz w:val="20"/>
          <w:szCs w:val="20"/>
        </w:rPr>
        <w:t xml:space="preserve">rodávajícím sepsán </w:t>
      </w:r>
      <w:r w:rsidRPr="00E53C41">
        <w:rPr>
          <w:rFonts w:ascii="Cambria" w:hAnsi="Cambria" w:cs="Calibri"/>
          <w:sz w:val="20"/>
          <w:szCs w:val="20"/>
        </w:rPr>
        <w:lastRenderedPageBreak/>
        <w:t>podrobný protokol obsahující seznam všech vyměn</w:t>
      </w:r>
      <w:r w:rsidR="000632BE" w:rsidRPr="00E53C41">
        <w:rPr>
          <w:rFonts w:ascii="Cambria" w:hAnsi="Cambria" w:cs="Calibri"/>
          <w:sz w:val="20"/>
          <w:szCs w:val="20"/>
        </w:rPr>
        <w:t>ěných dílů. Potvrzený protokol K</w:t>
      </w:r>
      <w:r w:rsidRPr="00E53C41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4259C49B" w14:textId="55819BCD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>ch předpisů. V tomto 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 xml:space="preserve">lnění jeho </w:t>
      </w:r>
      <w:r w:rsidR="008B0A6B">
        <w:rPr>
          <w:rFonts w:ascii="Cambria" w:hAnsi="Cambria"/>
          <w:sz w:val="20"/>
          <w:szCs w:val="20"/>
        </w:rPr>
        <w:lastRenderedPageBreak/>
        <w:t>povinností dle této S</w:t>
      </w:r>
      <w:r w:rsidRPr="004D7EFF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>mlouvy učiněné jinou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6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7" w:name="_Hlk114671373"/>
      <w:bookmarkStart w:id="8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6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9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7"/>
      <w:bookmarkEnd w:id="9"/>
      <w:r w:rsidRPr="004D7EFF">
        <w:rPr>
          <w:rFonts w:ascii="Cambria" w:hAnsi="Cambria" w:cs="Calibri"/>
          <w:sz w:val="20"/>
          <w:szCs w:val="20"/>
        </w:rPr>
        <w:t>.</w:t>
      </w:r>
    </w:p>
    <w:bookmarkEnd w:id="8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38FD4E0D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06F5ECD" w14:textId="18970B87" w:rsidR="008707AD" w:rsidRDefault="008707AD" w:rsidP="008707AD">
      <w:pPr>
        <w:jc w:val="both"/>
        <w:rPr>
          <w:rFonts w:ascii="Cambria" w:hAnsi="Cambria"/>
          <w:sz w:val="20"/>
          <w:szCs w:val="20"/>
          <w:lang w:val="x-none" w:eastAsia="x-none"/>
        </w:rPr>
      </w:pP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1DE659E9" w14:textId="025944C7" w:rsidR="00577E71" w:rsidRPr="00BA2BE6" w:rsidRDefault="00AA171C" w:rsidP="00577E71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2</w:t>
      </w:r>
      <w:r>
        <w:rPr>
          <w:rFonts w:ascii="Cambria" w:hAnsi="Cambria"/>
          <w:sz w:val="20"/>
          <w:szCs w:val="20"/>
        </w:rPr>
        <w:t xml:space="preserve"> -  Servisní údržba – počet kontrol a úkony servisní údržby</w:t>
      </w:r>
      <w:r w:rsidR="00BA2BE6">
        <w:rPr>
          <w:rFonts w:ascii="Cambria" w:hAnsi="Cambria"/>
          <w:sz w:val="20"/>
          <w:szCs w:val="20"/>
        </w:rPr>
        <w:t xml:space="preserve"> </w:t>
      </w:r>
      <w:proofErr w:type="spellStart"/>
      <w:r w:rsidR="00577E71">
        <w:rPr>
          <w:rFonts w:ascii="Cambria" w:hAnsi="Cambria"/>
          <w:sz w:val="20"/>
          <w:szCs w:val="20"/>
        </w:rPr>
        <w:t>údržby</w:t>
      </w:r>
      <w:proofErr w:type="spellEnd"/>
      <w:r w:rsidR="00577E71">
        <w:rPr>
          <w:rFonts w:ascii="Cambria" w:hAnsi="Cambria"/>
          <w:sz w:val="20"/>
          <w:szCs w:val="20"/>
        </w:rPr>
        <w:t xml:space="preserve"> </w:t>
      </w:r>
      <w:r w:rsidR="00577E71" w:rsidRPr="004D7EFF">
        <w:rPr>
          <w:rFonts w:ascii="Cambria" w:hAnsi="Cambria"/>
          <w:sz w:val="20"/>
          <w:szCs w:val="20"/>
          <w:highlight w:val="yellow"/>
        </w:rPr>
        <w:t>(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>vyplněná</w:t>
      </w:r>
      <w:r w:rsidR="00577E71" w:rsidRPr="004D7EFF">
        <w:rPr>
          <w:rFonts w:ascii="Cambria" w:hAnsi="Cambria"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>příloha bude předložena</w:t>
      </w:r>
      <w:r w:rsidR="00577E71">
        <w:rPr>
          <w:rFonts w:ascii="Cambria" w:hAnsi="Cambria"/>
          <w:i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 xml:space="preserve"> dodavatelem do nabídky)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6B392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4D7EFF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34476B5F" w:rsidR="008479E2" w:rsidRDefault="003E56DB" w:rsidP="007B040A">
      <w:pPr>
        <w:rPr>
          <w:rFonts w:ascii="Cambria" w:hAnsi="Cambria"/>
          <w:sz w:val="20"/>
          <w:szCs w:val="20"/>
          <w:highlight w:val="yellow"/>
        </w:rPr>
      </w:pPr>
      <w:r w:rsidRPr="004D7EFF">
        <w:rPr>
          <w:rFonts w:ascii="Cambria" w:hAnsi="Cambria"/>
          <w:sz w:val="20"/>
          <w:szCs w:val="20"/>
        </w:rPr>
        <w:t>V Praze</w:t>
      </w:r>
      <w:r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 xml:space="preserve">   </w:t>
      </w:r>
      <w:r w:rsidR="00B80637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5D1C5B" w:rsidRPr="004D7EFF">
        <w:rPr>
          <w:rFonts w:ascii="Cambria" w:hAnsi="Cambria"/>
          <w:sz w:val="20"/>
          <w:szCs w:val="20"/>
        </w:rPr>
        <w:t xml:space="preserve">V </w:t>
      </w:r>
      <w:r w:rsidR="0054572B" w:rsidRPr="004D7EFF">
        <w:rPr>
          <w:rFonts w:ascii="Cambria" w:hAnsi="Cambria"/>
          <w:sz w:val="20"/>
          <w:szCs w:val="20"/>
          <w:highlight w:val="yellow"/>
        </w:rPr>
        <w:t>.........</w:t>
      </w:r>
      <w:r w:rsidR="00087C81" w:rsidRPr="004D7EFF">
        <w:rPr>
          <w:rFonts w:ascii="Cambria" w:hAnsi="Cambria"/>
          <w:sz w:val="20"/>
          <w:szCs w:val="20"/>
          <w:highlight w:val="yellow"/>
        </w:rPr>
        <w:t>...................</w:t>
      </w:r>
    </w:p>
    <w:p w14:paraId="32EEDC8D" w14:textId="108FDA2D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4D7EFF" w:rsidRDefault="00432420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......................</w:t>
      </w:r>
      <w:r w:rsidR="00385C19" w:rsidRPr="004D7EFF">
        <w:rPr>
          <w:rFonts w:ascii="Cambria" w:hAnsi="Cambria"/>
          <w:sz w:val="20"/>
          <w:szCs w:val="20"/>
        </w:rPr>
        <w:t>...............</w:t>
      </w:r>
      <w:r w:rsidR="009E2395" w:rsidRPr="004D7EFF">
        <w:rPr>
          <w:rFonts w:ascii="Cambria" w:hAnsi="Cambria"/>
          <w:sz w:val="20"/>
          <w:szCs w:val="20"/>
        </w:rPr>
        <w:t>................</w:t>
      </w:r>
      <w:r w:rsidR="00087C81" w:rsidRPr="004D7EFF">
        <w:rPr>
          <w:rFonts w:ascii="Cambria" w:hAnsi="Cambria"/>
          <w:sz w:val="20"/>
          <w:szCs w:val="20"/>
        </w:rPr>
        <w:t>............</w:t>
      </w:r>
      <w:r w:rsidR="00253ECE" w:rsidRPr="004D7EFF">
        <w:rPr>
          <w:rFonts w:ascii="Cambria" w:hAnsi="Cambria"/>
          <w:sz w:val="20"/>
          <w:szCs w:val="20"/>
        </w:rPr>
        <w:t>.....</w:t>
      </w:r>
      <w:r w:rsidR="00087C81" w:rsidRPr="004D7EFF">
        <w:rPr>
          <w:rFonts w:ascii="Cambria" w:hAnsi="Cambria"/>
          <w:sz w:val="20"/>
          <w:szCs w:val="20"/>
        </w:rPr>
        <w:t>.</w:t>
      </w:r>
      <w:r w:rsidR="00DA7BA7">
        <w:rPr>
          <w:rFonts w:ascii="Cambria" w:hAnsi="Cambria"/>
          <w:sz w:val="20"/>
          <w:szCs w:val="20"/>
        </w:rPr>
        <w:t>.....</w:t>
      </w:r>
      <w:r w:rsidRPr="004D7EFF">
        <w:rPr>
          <w:rFonts w:ascii="Cambria" w:hAnsi="Cambria"/>
          <w:sz w:val="20"/>
          <w:szCs w:val="20"/>
        </w:rPr>
        <w:t xml:space="preserve">                  </w:t>
      </w:r>
      <w:r w:rsidR="004821CB" w:rsidRPr="004D7EFF">
        <w:rPr>
          <w:rFonts w:ascii="Cambria" w:hAnsi="Cambria"/>
          <w:sz w:val="20"/>
          <w:szCs w:val="20"/>
        </w:rPr>
        <w:t xml:space="preserve">         </w:t>
      </w:r>
      <w:r w:rsidR="00C430F8" w:rsidRPr="004D7EFF">
        <w:rPr>
          <w:rFonts w:ascii="Cambria" w:hAnsi="Cambria"/>
          <w:sz w:val="20"/>
          <w:szCs w:val="20"/>
        </w:rPr>
        <w:t xml:space="preserve">   </w:t>
      </w:r>
      <w:r w:rsidR="0090455D" w:rsidRPr="004D7EFF">
        <w:rPr>
          <w:rFonts w:ascii="Cambria" w:hAnsi="Cambria"/>
          <w:sz w:val="20"/>
          <w:szCs w:val="20"/>
        </w:rPr>
        <w:tab/>
      </w:r>
      <w:r w:rsidR="0090455D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>………………………………………</w:t>
      </w:r>
      <w:r w:rsidR="00087C81" w:rsidRPr="004D7EFF">
        <w:rPr>
          <w:rFonts w:ascii="Cambria" w:hAnsi="Cambria"/>
          <w:sz w:val="20"/>
          <w:szCs w:val="20"/>
        </w:rPr>
        <w:t>……</w:t>
      </w:r>
      <w:r w:rsidR="00253ECE" w:rsidRPr="004D7EFF">
        <w:rPr>
          <w:rFonts w:ascii="Cambria" w:hAnsi="Cambria"/>
          <w:sz w:val="20"/>
          <w:szCs w:val="20"/>
        </w:rPr>
        <w:t>……………</w:t>
      </w:r>
    </w:p>
    <w:p w14:paraId="3C724665" w14:textId="37926987" w:rsidR="0054572B" w:rsidRPr="004D7EFF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4D7EFF">
        <w:rPr>
          <w:rFonts w:ascii="Cambria" w:hAnsi="Cambria"/>
          <w:sz w:val="20"/>
          <w:szCs w:val="20"/>
        </w:rPr>
        <w:tab/>
      </w:r>
      <w:r w:rsidR="00B80637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jméno, příjmení</w:t>
      </w:r>
    </w:p>
    <w:p w14:paraId="070376F9" w14:textId="20ED8BC0" w:rsidR="00AC456F" w:rsidRPr="004D7EFF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</w:t>
      </w:r>
      <w:r w:rsidR="004821CB" w:rsidRPr="004D7EFF">
        <w:rPr>
          <w:rFonts w:ascii="Cambria" w:hAnsi="Cambria"/>
          <w:sz w:val="20"/>
          <w:szCs w:val="20"/>
        </w:rPr>
        <w:t xml:space="preserve">děkan </w:t>
      </w:r>
      <w:r w:rsidR="00432420" w:rsidRPr="004D7EFF">
        <w:rPr>
          <w:rFonts w:ascii="Cambria" w:hAnsi="Cambria"/>
          <w:sz w:val="20"/>
          <w:szCs w:val="20"/>
        </w:rPr>
        <w:t xml:space="preserve">        </w:t>
      </w:r>
      <w:r w:rsidR="00B80637" w:rsidRPr="004D7EFF">
        <w:rPr>
          <w:rFonts w:ascii="Cambria" w:hAnsi="Cambria"/>
          <w:sz w:val="20"/>
          <w:szCs w:val="20"/>
        </w:rPr>
        <w:t xml:space="preserve">              </w:t>
      </w:r>
      <w:r w:rsidR="009F04ED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funkce</w:t>
      </w:r>
    </w:p>
    <w:p w14:paraId="2AF7DF9D" w14:textId="24A046D3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DA7BA7">
        <w:rPr>
          <w:rFonts w:ascii="Cambria" w:hAnsi="Cambria"/>
          <w:b/>
          <w:sz w:val="20"/>
          <w:szCs w:val="20"/>
        </w:rPr>
        <w:t>2. lékařské fakulty Univerzity Karlovy</w:t>
      </w:r>
      <w:r>
        <w:rPr>
          <w:rFonts w:ascii="Cambria" w:hAnsi="Cambria"/>
          <w:b/>
          <w:sz w:val="20"/>
        </w:rPr>
        <w:t xml:space="preserve">                                                                  </w:t>
      </w:r>
      <w:r>
        <w:rPr>
          <w:rFonts w:ascii="Cambria" w:hAnsi="Cambria"/>
          <w:sz w:val="20"/>
          <w:szCs w:val="20"/>
          <w:highlight w:val="yellow"/>
        </w:rPr>
        <w:t xml:space="preserve">   </w:t>
      </w:r>
      <w:r w:rsidRPr="004D7EFF">
        <w:rPr>
          <w:rFonts w:ascii="Cambria" w:hAnsi="Cambria"/>
          <w:sz w:val="20"/>
          <w:szCs w:val="20"/>
          <w:highlight w:val="yellow"/>
        </w:rPr>
        <w:t>název společnosti</w:t>
      </w:r>
    </w:p>
    <w:sectPr w:rsidR="00B479F2" w:rsidRPr="00577E71" w:rsidSect="00A167FC">
      <w:headerReference w:type="even" r:id="rId16"/>
      <w:headerReference w:type="default" r:id="rId17"/>
      <w:footerReference w:type="even" r:id="rId18"/>
      <w:footerReference w:type="default" r:id="rId19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9A1DD" w14:textId="77777777" w:rsidR="00394AE6" w:rsidRDefault="00394AE6">
      <w:r>
        <w:separator/>
      </w:r>
    </w:p>
  </w:endnote>
  <w:endnote w:type="continuationSeparator" w:id="0">
    <w:p w14:paraId="7F560AA3" w14:textId="77777777" w:rsidR="00394AE6" w:rsidRDefault="0039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A5685" w14:textId="77777777" w:rsidR="00394AE6" w:rsidRDefault="00394AE6">
      <w:bookmarkStart w:id="0" w:name="_Hlk165901091"/>
      <w:bookmarkEnd w:id="0"/>
      <w:r>
        <w:separator/>
      </w:r>
    </w:p>
  </w:footnote>
  <w:footnote w:type="continuationSeparator" w:id="0">
    <w:p w14:paraId="0A24CC60" w14:textId="77777777" w:rsidR="00394AE6" w:rsidRDefault="0039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67550ED8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114A0EFC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27"/>
  </w:num>
  <w:num w:numId="5">
    <w:abstractNumId w:val="18"/>
  </w:num>
  <w:num w:numId="6">
    <w:abstractNumId w:val="20"/>
  </w:num>
  <w:num w:numId="7">
    <w:abstractNumId w:val="17"/>
  </w:num>
  <w:num w:numId="8">
    <w:abstractNumId w:val="19"/>
  </w:num>
  <w:num w:numId="9">
    <w:abstractNumId w:val="2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6"/>
  </w:num>
  <w:num w:numId="16">
    <w:abstractNumId w:val="9"/>
  </w:num>
  <w:num w:numId="17">
    <w:abstractNumId w:val="11"/>
  </w:num>
  <w:num w:numId="18">
    <w:abstractNumId w:val="13"/>
  </w:num>
  <w:num w:numId="19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32A1"/>
    <w:rsid w:val="00263A38"/>
    <w:rsid w:val="00264230"/>
    <w:rsid w:val="00264A48"/>
    <w:rsid w:val="00264F54"/>
    <w:rsid w:val="00265D83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4662"/>
    <w:rsid w:val="00866EF8"/>
    <w:rsid w:val="008707AD"/>
    <w:rsid w:val="008709A2"/>
    <w:rsid w:val="008710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6903"/>
    <w:rsid w:val="00926970"/>
    <w:rsid w:val="00926BB3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697"/>
    <w:rsid w:val="00E11876"/>
    <w:rsid w:val="00E11C60"/>
    <w:rsid w:val="00E12D56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B44"/>
    <w:rsid w:val="00EC171B"/>
    <w:rsid w:val="00EC1B3F"/>
    <w:rsid w:val="00EC1EF3"/>
    <w:rsid w:val="00EC3D8C"/>
    <w:rsid w:val="00EC4843"/>
    <w:rsid w:val="00EC4DDD"/>
    <w:rsid w:val="00EC6044"/>
    <w:rsid w:val="00EC68FB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f2.cuni.cz/klinika-anesteziologie-resuscitace-intenzivni-medicin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rahomira.moravcova@lfmotol.cuni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(vypln&#237;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(vypln&#237;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4504</Words>
  <Characters>26576</Characters>
  <Application>Microsoft Office Word</Application>
  <DocSecurity>0</DocSecurity>
  <Lines>221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31018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Drahomíra Moravcová</cp:lastModifiedBy>
  <cp:revision>12</cp:revision>
  <cp:lastPrinted>2024-03-14T07:08:00Z</cp:lastPrinted>
  <dcterms:created xsi:type="dcterms:W3CDTF">2025-04-14T13:20:00Z</dcterms:created>
  <dcterms:modified xsi:type="dcterms:W3CDTF">2025-04-16T08:19:00Z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