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BBF131E"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D069C3" w:rsidRPr="00D069C3">
        <w:rPr>
          <w:rFonts w:ascii="Calibri" w:eastAsia="Calibri" w:hAnsi="Calibri" w:cs="Calibri"/>
          <w:b/>
          <w:sz w:val="22"/>
          <w:szCs w:val="22"/>
        </w:rPr>
        <w:t xml:space="preserve">NAS a </w:t>
      </w:r>
      <w:r w:rsidR="00B55833">
        <w:rPr>
          <w:rFonts w:ascii="Calibri" w:eastAsia="Calibri" w:hAnsi="Calibri" w:cs="Calibri"/>
          <w:b/>
          <w:sz w:val="22"/>
          <w:szCs w:val="22"/>
        </w:rPr>
        <w:t>příslušenství</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211F5950"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95616223"/>
      <w:bookmarkStart w:id="3" w:name="_Hlk197431912"/>
      <w:bookmarkStart w:id="4" w:name="_Hlk182215404"/>
      <w:bookmarkStart w:id="5" w:name="_Hlk197683294"/>
      <w:r w:rsidR="00B55833" w:rsidRPr="00B55833">
        <w:rPr>
          <w:rFonts w:ascii="Calibri" w:eastAsia="Calibri" w:hAnsi="Calibri" w:cs="Calibri"/>
          <w:b/>
          <w:sz w:val="22"/>
          <w:szCs w:val="22"/>
        </w:rPr>
        <w:t>Katedra fyziky materiálů</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bookmarkEnd w:id="2"/>
      <w:bookmarkEnd w:id="3"/>
      <w:r w:rsidR="00B55833" w:rsidRPr="00B55833">
        <w:rPr>
          <w:rFonts w:ascii="Calibri" w:eastAsia="Calibri" w:hAnsi="Calibri" w:cs="Calibri"/>
          <w:bCs/>
          <w:sz w:val="22"/>
          <w:szCs w:val="22"/>
        </w:rPr>
        <w:t>Ke Karlovu 2026/5, Praha 2</w:t>
      </w:r>
      <w:bookmarkEnd w:id="5"/>
      <w:r w:rsidR="00AD029C">
        <w:rPr>
          <w:rFonts w:ascii="Calibri" w:eastAsia="Calibri" w:hAnsi="Calibri" w:cs="Calibri"/>
          <w:bCs/>
          <w:sz w:val="22"/>
          <w:szCs w:val="22"/>
        </w:rPr>
        <w:t>.</w:t>
      </w:r>
      <w:bookmarkEnd w:id="4"/>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73795F92"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B55833" w:rsidRPr="00B55833">
        <w:rPr>
          <w:rFonts w:ascii="Calibri" w:eastAsia="Calibri" w:hAnsi="Calibri" w:cs="Calibri"/>
          <w:color w:val="000000"/>
          <w:sz w:val="22"/>
          <w:szCs w:val="22"/>
        </w:rPr>
        <w:t>106250090</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77490005" w:rsidR="00173453" w:rsidRPr="00580420" w:rsidRDefault="00B55833" w:rsidP="00676AC4">
      <w:pPr>
        <w:pBdr>
          <w:top w:val="nil"/>
          <w:left w:val="nil"/>
          <w:bottom w:val="nil"/>
          <w:right w:val="nil"/>
          <w:between w:val="nil"/>
        </w:pBdr>
        <w:ind w:left="714" w:right="-850"/>
        <w:rPr>
          <w:rFonts w:ascii="Calibri" w:eastAsia="Calibri" w:hAnsi="Calibri" w:cs="Calibri"/>
          <w:b/>
          <w:color w:val="000000"/>
          <w:sz w:val="22"/>
          <w:szCs w:val="22"/>
        </w:rPr>
      </w:pPr>
      <w:bookmarkStart w:id="6" w:name="_heading=h.gjdgxs" w:colFirst="0" w:colLast="0"/>
      <w:bookmarkEnd w:id="6"/>
      <w:r w:rsidRPr="00B55833">
        <w:rPr>
          <w:rFonts w:ascii="Calibri" w:eastAsia="Calibri" w:hAnsi="Calibri" w:cs="Calibri"/>
          <w:b/>
          <w:bCs/>
          <w:color w:val="000000"/>
          <w:sz w:val="22"/>
          <w:szCs w:val="22"/>
        </w:rPr>
        <w:t>Bc. Eva Chrpová</w:t>
      </w:r>
      <w:r w:rsidR="00D069C3">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B55833">
        <w:rPr>
          <w:rFonts w:ascii="Calibri" w:eastAsia="Calibri" w:hAnsi="Calibri" w:cs="Calibri"/>
          <w:b/>
          <w:bCs/>
          <w:color w:val="000000"/>
          <w:sz w:val="22"/>
          <w:szCs w:val="22"/>
        </w:rPr>
        <w:t>95155 1358</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B55833">
        <w:rPr>
          <w:rFonts w:ascii="Calibri" w:eastAsia="Calibri" w:hAnsi="Calibri" w:cs="Calibri"/>
          <w:b/>
          <w:bCs/>
          <w:color w:val="000000"/>
          <w:sz w:val="22"/>
          <w:szCs w:val="22"/>
        </w:rPr>
        <w:t>eva.chrpova@matfyz.cuni.cz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0EA87C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7" w:name="_heading=h.30j0zll" w:colFirst="0" w:colLast="0"/>
      <w:bookmarkEnd w:id="7"/>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B55833">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8" w:name="_heading=h.1fob9te" w:colFirst="0" w:colLast="0"/>
      <w:bookmarkEnd w:id="8"/>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215BC"/>
    <w:rsid w:val="002342E0"/>
    <w:rsid w:val="00256467"/>
    <w:rsid w:val="00257F03"/>
    <w:rsid w:val="002933CE"/>
    <w:rsid w:val="002D474F"/>
    <w:rsid w:val="0032028D"/>
    <w:rsid w:val="00357D15"/>
    <w:rsid w:val="003850FA"/>
    <w:rsid w:val="00391F24"/>
    <w:rsid w:val="003924FD"/>
    <w:rsid w:val="003B7922"/>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B33EE"/>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13C79"/>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839E1"/>
    <w:rsid w:val="009C3111"/>
    <w:rsid w:val="009C4880"/>
    <w:rsid w:val="009E5CAA"/>
    <w:rsid w:val="00A05B83"/>
    <w:rsid w:val="00A41EEC"/>
    <w:rsid w:val="00A44948"/>
    <w:rsid w:val="00A51AC4"/>
    <w:rsid w:val="00A5505E"/>
    <w:rsid w:val="00A63AC8"/>
    <w:rsid w:val="00A71653"/>
    <w:rsid w:val="00A75AFF"/>
    <w:rsid w:val="00A87F6E"/>
    <w:rsid w:val="00A93576"/>
    <w:rsid w:val="00AA72D8"/>
    <w:rsid w:val="00AD029C"/>
    <w:rsid w:val="00AD4A38"/>
    <w:rsid w:val="00B13F02"/>
    <w:rsid w:val="00B15CD9"/>
    <w:rsid w:val="00B41703"/>
    <w:rsid w:val="00B5583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069C3"/>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1725</Words>
  <Characters>10184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55</cp:revision>
  <dcterms:created xsi:type="dcterms:W3CDTF">2021-11-12T13:24:00Z</dcterms:created>
  <dcterms:modified xsi:type="dcterms:W3CDTF">2025-05-09T09:47:00Z</dcterms:modified>
</cp:coreProperties>
</file>