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11130" w14:textId="46E5911F" w:rsidR="00D43CD4" w:rsidRPr="00D43CD4" w:rsidRDefault="007A1B95" w:rsidP="00C1657C">
      <w:pPr>
        <w:pStyle w:val="Nadpis1"/>
        <w:keepLines w:val="0"/>
        <w:pBdr>
          <w:top w:val="single" w:sz="4" w:space="0" w:color="auto"/>
        </w:pBdr>
        <w:spacing w:before="0" w:after="0" w:line="240" w:lineRule="auto"/>
        <w:ind w:left="0" w:firstLine="0"/>
        <w:jc w:val="center"/>
        <w:rPr>
          <w:sz w:val="32"/>
        </w:rPr>
      </w:pPr>
      <w:bookmarkStart w:id="0" w:name="_Toc120731836"/>
      <w:bookmarkStart w:id="1" w:name="_Toc122426931"/>
      <w:r w:rsidRPr="00D43CD4">
        <w:rPr>
          <w:sz w:val="32"/>
        </w:rPr>
        <w:t>Další požadavky zadavatele</w:t>
      </w:r>
      <w:bookmarkEnd w:id="0"/>
      <w:bookmarkEnd w:id="1"/>
    </w:p>
    <w:p w14:paraId="6421B7B1" w14:textId="1382C4CC" w:rsidR="0080456F" w:rsidRPr="00C1657C" w:rsidRDefault="00D43CD4" w:rsidP="00C1657C">
      <w:pPr>
        <w:pStyle w:val="Nadpis1"/>
        <w:keepLines w:val="0"/>
        <w:pBdr>
          <w:top w:val="single" w:sz="4" w:space="0" w:color="auto"/>
        </w:pBdr>
        <w:spacing w:before="0" w:after="0" w:line="240" w:lineRule="auto"/>
        <w:ind w:left="0" w:firstLine="0"/>
        <w:jc w:val="center"/>
        <w:rPr>
          <w:b w:val="0"/>
          <w:bCs/>
          <w:sz w:val="20"/>
          <w:szCs w:val="20"/>
        </w:rPr>
      </w:pPr>
      <w:r w:rsidRPr="00C1657C">
        <w:rPr>
          <w:b w:val="0"/>
          <w:bCs/>
          <w:sz w:val="20"/>
          <w:szCs w:val="20"/>
        </w:rPr>
        <w:t xml:space="preserve">Zadavatel požaduje v souladu s ustanovením § 104 písm. e) další podmínky součinnosti před uzavřením smlouvy zákona č. 134/2016 Sb., o zadávání veřejných zakázek, v platném znění (dále také „ZZVZ“) </w:t>
      </w:r>
      <w:r w:rsidR="0080456F" w:rsidRPr="00C1657C">
        <w:rPr>
          <w:b w:val="0"/>
          <w:bCs/>
          <w:sz w:val="20"/>
          <w:szCs w:val="20"/>
        </w:rPr>
        <w:t>104 písm.</w:t>
      </w:r>
      <w:r w:rsidRPr="00C1657C">
        <w:rPr>
          <w:b w:val="0"/>
          <w:bCs/>
          <w:sz w:val="20"/>
          <w:szCs w:val="20"/>
        </w:rPr>
        <w:t xml:space="preserve"> </w:t>
      </w:r>
      <w:r w:rsidR="0080456F" w:rsidRPr="00C1657C">
        <w:rPr>
          <w:b w:val="0"/>
          <w:bCs/>
          <w:sz w:val="20"/>
          <w:szCs w:val="20"/>
        </w:rPr>
        <w:t>e) ZZVZ</w:t>
      </w:r>
      <w:r w:rsidRPr="00C1657C">
        <w:rPr>
          <w:b w:val="0"/>
          <w:bCs/>
          <w:sz w:val="20"/>
          <w:szCs w:val="20"/>
        </w:rPr>
        <w:t>.</w:t>
      </w:r>
    </w:p>
    <w:p w14:paraId="75F19BFE" w14:textId="7C3EE135" w:rsidR="007A1B95" w:rsidRPr="007A1B95" w:rsidRDefault="007A1B95" w:rsidP="007A1B95">
      <w:pPr>
        <w:pStyle w:val="Nadpis2"/>
        <w:numPr>
          <w:ilvl w:val="0"/>
          <w:numId w:val="0"/>
        </w:numPr>
        <w:tabs>
          <w:tab w:val="clear" w:pos="1701"/>
        </w:tabs>
        <w:rPr>
          <w:color w:val="FF0000"/>
        </w:rPr>
      </w:pPr>
      <w:bookmarkStart w:id="2" w:name="_Hlk129685223"/>
      <w:r>
        <w:rPr>
          <w:color w:val="FF0000"/>
        </w:rPr>
        <w:t>Zadavatel požaduje, aby nejpozději před podpisem smlouvy dodavatel předložil čestn</w:t>
      </w:r>
      <w:r w:rsidR="00716CE0">
        <w:rPr>
          <w:color w:val="FF0000"/>
        </w:rPr>
        <w:t>é</w:t>
      </w:r>
      <w:r>
        <w:rPr>
          <w:color w:val="FF0000"/>
        </w:rPr>
        <w:t xml:space="preserve"> prohlášení, kter</w:t>
      </w:r>
      <w:r w:rsidR="00716CE0">
        <w:rPr>
          <w:color w:val="FF0000"/>
        </w:rPr>
        <w:t>é</w:t>
      </w:r>
      <w:r>
        <w:rPr>
          <w:color w:val="FF0000"/>
        </w:rPr>
        <w:t xml:space="preserve"> naplní požadavky níže uvedených norem. Zadavatel doporučuje využít přiložen</w:t>
      </w:r>
      <w:r w:rsidR="00B008CC">
        <w:rPr>
          <w:color w:val="FF0000"/>
        </w:rPr>
        <w:t>é</w:t>
      </w:r>
      <w:r>
        <w:rPr>
          <w:color w:val="FF0000"/>
        </w:rPr>
        <w:t xml:space="preserve"> předloh</w:t>
      </w:r>
      <w:r w:rsidR="00B008CC">
        <w:rPr>
          <w:color w:val="FF0000"/>
        </w:rPr>
        <w:t>y</w:t>
      </w:r>
      <w:r>
        <w:rPr>
          <w:color w:val="FF0000"/>
        </w:rPr>
        <w:t xml:space="preserve"> čestn</w:t>
      </w:r>
      <w:r w:rsidR="00B008CC">
        <w:rPr>
          <w:color w:val="FF0000"/>
        </w:rPr>
        <w:t xml:space="preserve">ého </w:t>
      </w:r>
      <w:r>
        <w:rPr>
          <w:color w:val="FF0000"/>
        </w:rPr>
        <w:t>prohlášení.</w:t>
      </w:r>
    </w:p>
    <w:bookmarkEnd w:id="2"/>
    <w:p w14:paraId="74A4AC93" w14:textId="50FA5FC6" w:rsidR="007A1B95" w:rsidRPr="006D631E" w:rsidRDefault="007A1B95" w:rsidP="00C1657C">
      <w:pPr>
        <w:pStyle w:val="Nadpis2"/>
        <w:numPr>
          <w:ilvl w:val="0"/>
          <w:numId w:val="0"/>
        </w:numPr>
        <w:tabs>
          <w:tab w:val="clear" w:pos="1701"/>
        </w:tabs>
        <w:spacing w:after="0" w:line="240" w:lineRule="auto"/>
        <w:ind w:left="360"/>
      </w:pPr>
      <w:r w:rsidRPr="006D631E">
        <w:t>Požadavky vyplývající ze zákona o střetu zájmů</w:t>
      </w:r>
    </w:p>
    <w:p w14:paraId="6C7D6D33" w14:textId="77777777" w:rsidR="007A1B95" w:rsidRPr="006D631E" w:rsidRDefault="007A1B95" w:rsidP="00C1657C">
      <w:pPr>
        <w:spacing w:after="0" w:line="240" w:lineRule="auto"/>
      </w:pPr>
      <w:r w:rsidRPr="006D631E">
        <w:t xml:space="preserve">Dodavatel čestně prohlašuje, že se na něj nevztahuje § 4b zákona č. 159/2006 Sb., o střetu zájmů, ve znění pozdějších předpisů (dále jen </w:t>
      </w:r>
      <w:r w:rsidRPr="000F60AA">
        <w:t>„</w:t>
      </w:r>
      <w:r w:rsidRPr="000F60AA">
        <w:rPr>
          <w:i/>
        </w:rPr>
        <w:t>ZSZ</w:t>
      </w:r>
      <w:r w:rsidRPr="000F60AA">
        <w:t>“</w:t>
      </w:r>
      <w:r w:rsidRPr="006D631E">
        <w:t>), tj. že není obchodní společností, ve které veřejný funkcionář uvedený v § 2 odst. 1 písm. c) ZSZ nebo jím ovládaná osoba vlastní podíl představující alespoň 25 % účasti společníka v obchodní společnosti.</w:t>
      </w:r>
    </w:p>
    <w:p w14:paraId="22D329A7" w14:textId="77777777" w:rsidR="007A1B95" w:rsidRPr="006D631E" w:rsidRDefault="007A1B95" w:rsidP="00C1657C">
      <w:pPr>
        <w:pStyle w:val="Nadpis2"/>
        <w:numPr>
          <w:ilvl w:val="0"/>
          <w:numId w:val="0"/>
        </w:numPr>
        <w:tabs>
          <w:tab w:val="clear" w:pos="1701"/>
        </w:tabs>
        <w:spacing w:after="0" w:line="240" w:lineRule="auto"/>
        <w:ind w:left="360"/>
      </w:pPr>
      <w:r w:rsidRPr="00016CE3">
        <w:t>Požadavky vyplývající ze zákona o provádění mezinárodních sankcí</w:t>
      </w:r>
    </w:p>
    <w:p w14:paraId="19F1A358" w14:textId="77777777" w:rsidR="007A1B95" w:rsidRDefault="007A1B95" w:rsidP="00C1657C">
      <w:pPr>
        <w:spacing w:after="0" w:line="240" w:lineRule="auto"/>
      </w:pPr>
      <w:r w:rsidRPr="006D631E">
        <w:t>Dodavatel čestně prohlašuje, že se na něj nevztahuj</w:t>
      </w:r>
      <w:r>
        <w:t>í</w:t>
      </w:r>
      <w:r w:rsidRPr="006D631E">
        <w:t xml:space="preserve"> </w:t>
      </w:r>
      <w:r w:rsidRPr="00320AFF">
        <w:t>mezinárodní sankce</w:t>
      </w:r>
      <w:r>
        <w:t xml:space="preserve"> </w:t>
      </w:r>
      <w:r w:rsidRPr="00320AFF">
        <w:t>dle § 2 zákona č. 69/2006 Sb., o provádění mezinárodních sankcí, ve znění pozdějších předpisů</w:t>
      </w:r>
      <w:r>
        <w:t>, a že si není vědom skutečnosti, že by se tyto sankce vztahovaly na některého z jeho poddodavatelů, jejichž prostřednictvím bude plnit předmětnou veřejnou zakázku nebo její část.</w:t>
      </w:r>
    </w:p>
    <w:p w14:paraId="661418DE" w14:textId="77777777" w:rsidR="007A1B95" w:rsidRPr="007A1B95" w:rsidRDefault="007A1B95" w:rsidP="00C1657C">
      <w:pPr>
        <w:spacing w:after="0" w:line="240" w:lineRule="auto"/>
      </w:pPr>
      <w:r w:rsidRPr="007A1B95">
        <w:t>Dodavatel dále čestně prohlašuje, že se na něj nevztahuje čl. 5k nařízení Rady EU č. 2022/576 ze dne 8. 4. 2022, kterým se mění nařízení (EU) č. 833/2014, o omezujících opatřeních vzhledem k činnostem Ruska destabilizujícím situaci na Ukrajině, tj. že:</w:t>
      </w:r>
    </w:p>
    <w:p w14:paraId="2C0AFBCE" w14:textId="77777777" w:rsidR="007A1B95" w:rsidRPr="007A1B95" w:rsidRDefault="007A1B95" w:rsidP="000F60AA">
      <w:pPr>
        <w:pStyle w:val="Bezmezer"/>
        <w:numPr>
          <w:ilvl w:val="0"/>
          <w:numId w:val="6"/>
        </w:numPr>
        <w:spacing w:before="0" w:after="0" w:line="240" w:lineRule="auto"/>
        <w:ind w:left="709"/>
        <w:rPr>
          <w:noProof w:val="0"/>
        </w:rPr>
      </w:pPr>
      <w:r w:rsidRPr="007A1B95">
        <w:rPr>
          <w:noProof w:val="0"/>
        </w:rPr>
        <w:t>není ruským státním příslušníkem, fyzickou či právnickou osobou, subjektem či orgánem se sídlem v Rusku,</w:t>
      </w:r>
    </w:p>
    <w:p w14:paraId="3C6ACAAE" w14:textId="77777777" w:rsidR="007A1B95" w:rsidRPr="007A1B95" w:rsidRDefault="007A1B95" w:rsidP="000F60AA">
      <w:pPr>
        <w:pStyle w:val="Bezmezer"/>
        <w:spacing w:before="0" w:after="0" w:line="240" w:lineRule="auto"/>
        <w:rPr>
          <w:noProof w:val="0"/>
        </w:rPr>
      </w:pPr>
      <w:r w:rsidRPr="007A1B95">
        <w:rPr>
          <w:noProof w:val="0"/>
        </w:rPr>
        <w:t>není právnickou osobou, subjektem nebo orgánem, které jsou z více než 50 % přímo či nepřímo vlastněny některým ze subjektů uvedených v písm. a),</w:t>
      </w:r>
    </w:p>
    <w:p w14:paraId="67EE3B91" w14:textId="77777777" w:rsidR="007A1B95" w:rsidRPr="007A1B95" w:rsidRDefault="007A1B95" w:rsidP="000F60AA">
      <w:pPr>
        <w:pStyle w:val="Bezmezer"/>
        <w:spacing w:before="0" w:after="0" w:line="240" w:lineRule="auto"/>
        <w:rPr>
          <w:noProof w:val="0"/>
        </w:rPr>
      </w:pPr>
      <w:r w:rsidRPr="007A1B95">
        <w:rPr>
          <w:noProof w:val="0"/>
        </w:rPr>
        <w:t>není dodavatelem jednajícím jménem nebo na pokyn některého ze subjektů uvedených v písm. a) nebo b),</w:t>
      </w:r>
    </w:p>
    <w:p w14:paraId="39701905" w14:textId="77777777" w:rsidR="007A1B95" w:rsidRPr="007A1B95" w:rsidRDefault="007A1B95" w:rsidP="000F60AA">
      <w:pPr>
        <w:pStyle w:val="Bezmezer"/>
        <w:spacing w:before="0" w:after="0" w:line="240" w:lineRule="auto"/>
        <w:rPr>
          <w:noProof w:val="0"/>
        </w:rPr>
      </w:pPr>
      <w:r w:rsidRPr="007A1B95">
        <w:rPr>
          <w:noProof w:val="0"/>
        </w:rPr>
        <w:t>není sdružením dodavatelů (ve smyslu § 82 ZZVZ), jehož člen je subjektem uvedeným v písm. a), b) nebo c) a</w:t>
      </w:r>
    </w:p>
    <w:p w14:paraId="7BEB743F" w14:textId="510E1404" w:rsidR="008D7CC8" w:rsidRDefault="007A1B95" w:rsidP="000F60AA">
      <w:pPr>
        <w:pStyle w:val="Bezmezer"/>
        <w:spacing w:before="0" w:after="0" w:line="240" w:lineRule="auto"/>
        <w:rPr>
          <w:noProof w:val="0"/>
        </w:rPr>
      </w:pPr>
      <w:r w:rsidRPr="007A1B95">
        <w:rPr>
          <w:noProof w:val="0"/>
        </w:rPr>
        <w:t>nebude plnit předmět plnění této veřejné zakázky prostřednictvím poddodavatele, který by plnil více než 10 % předpokládané hodnoty této veřejné zakázky a který by zároveň byl subjektem uvedeným v písm. a), b), c) nebo d).</w:t>
      </w:r>
    </w:p>
    <w:p w14:paraId="44DAC22B" w14:textId="67303EF5" w:rsidR="00C1657C" w:rsidRPr="00C1657C" w:rsidRDefault="00C1657C" w:rsidP="00C1657C">
      <w:pPr>
        <w:pStyle w:val="Nadpis2"/>
        <w:numPr>
          <w:ilvl w:val="0"/>
          <w:numId w:val="0"/>
        </w:numPr>
        <w:tabs>
          <w:tab w:val="clear" w:pos="1701"/>
        </w:tabs>
        <w:spacing w:after="0" w:line="240" w:lineRule="auto"/>
        <w:ind w:left="360"/>
      </w:pPr>
      <w:r w:rsidRPr="00C1657C">
        <w:t>Seznam poddodavatelů a skutečných majitelů</w:t>
      </w:r>
    </w:p>
    <w:p w14:paraId="67DA642C" w14:textId="6E91B742" w:rsidR="00C1657C" w:rsidRDefault="00C1657C" w:rsidP="00716CE0">
      <w:pPr>
        <w:spacing w:after="0" w:line="240" w:lineRule="auto"/>
      </w:pPr>
      <w:r>
        <w:t xml:space="preserve">Dodavatel za účelem prokázání prohlášených skutečností </w:t>
      </w:r>
      <w:proofErr w:type="gramStart"/>
      <w:r>
        <w:t>předloží</w:t>
      </w:r>
      <w:proofErr w:type="gramEnd"/>
      <w:r>
        <w:t xml:space="preserve"> seznam, ve kterém jsou uvedeny identifikační údaje</w:t>
      </w:r>
      <w:r w:rsidR="00716CE0">
        <w:t xml:space="preserve"> </w:t>
      </w:r>
      <w:r>
        <w:t xml:space="preserve">poddodavatelů dodavatele, </w:t>
      </w:r>
      <w:bookmarkStart w:id="3" w:name="_Hlk133570944"/>
      <w:r>
        <w:t xml:space="preserve">kteří se na předmětu plnění veřejné zakázky budou podílet více než 10 % předpokládané hodnoty veřejné zakázky </w:t>
      </w:r>
      <w:bookmarkEnd w:id="3"/>
      <w:r>
        <w:t>a kteří jsou dodavateli ke dni podání jeho nabídky známi, a jejich skutečných majitelů. </w:t>
      </w:r>
    </w:p>
    <w:p w14:paraId="7CE6F1AF" w14:textId="42D2BDC9" w:rsidR="007A1B95" w:rsidRDefault="007A1B95" w:rsidP="00C1657C">
      <w:pPr>
        <w:spacing w:after="0" w:line="240" w:lineRule="auto"/>
      </w:pPr>
    </w:p>
    <w:p w14:paraId="2D319898" w14:textId="1AC48CFE" w:rsidR="007A1B95" w:rsidRDefault="007A1B95" w:rsidP="00C1657C">
      <w:pPr>
        <w:spacing w:after="0" w:line="240" w:lineRule="auto"/>
      </w:pPr>
    </w:p>
    <w:p w14:paraId="0161BFAC" w14:textId="1937BE2A" w:rsidR="00D43CD4" w:rsidRDefault="00D43CD4" w:rsidP="00C1657C">
      <w:pPr>
        <w:spacing w:after="0" w:line="240" w:lineRule="auto"/>
      </w:pPr>
    </w:p>
    <w:p w14:paraId="0A87233C" w14:textId="7D5F5D54" w:rsidR="00716CE0" w:rsidRDefault="00716CE0" w:rsidP="00C1657C">
      <w:pPr>
        <w:spacing w:after="0" w:line="240" w:lineRule="auto"/>
      </w:pPr>
    </w:p>
    <w:p w14:paraId="4E8C69FC" w14:textId="40EC3111" w:rsidR="00716CE0" w:rsidRDefault="00716CE0" w:rsidP="00C1657C">
      <w:pPr>
        <w:spacing w:after="0" w:line="240" w:lineRule="auto"/>
      </w:pPr>
    </w:p>
    <w:p w14:paraId="402340E0" w14:textId="77777777" w:rsidR="00716CE0" w:rsidRDefault="00716CE0" w:rsidP="00C1657C">
      <w:pPr>
        <w:spacing w:after="0" w:line="240" w:lineRule="auto"/>
      </w:pPr>
    </w:p>
    <w:p w14:paraId="2AAD375D" w14:textId="77777777" w:rsidR="00716CE0" w:rsidRDefault="00716CE0" w:rsidP="00C1657C">
      <w:pPr>
        <w:spacing w:after="0" w:line="240" w:lineRule="auto"/>
      </w:pPr>
    </w:p>
    <w:p w14:paraId="004FB817" w14:textId="05C1A9B1" w:rsidR="0018178B" w:rsidRDefault="0018178B" w:rsidP="00C1657C">
      <w:pPr>
        <w:spacing w:before="0" w:after="0" w:line="240" w:lineRule="auto"/>
        <w:rPr>
          <w:b/>
          <w:bCs/>
          <w:sz w:val="24"/>
          <w:szCs w:val="24"/>
        </w:rPr>
      </w:pPr>
      <w:r w:rsidRPr="0018178B">
        <w:rPr>
          <w:b/>
          <w:bCs/>
          <w:sz w:val="24"/>
          <w:szCs w:val="24"/>
        </w:rPr>
        <w:lastRenderedPageBreak/>
        <w:t xml:space="preserve">ČESTNÉ PROHLÁŠENÍ O </w:t>
      </w:r>
      <w:r w:rsidR="003A5F00">
        <w:rPr>
          <w:b/>
          <w:bCs/>
          <w:sz w:val="24"/>
          <w:szCs w:val="24"/>
        </w:rPr>
        <w:t>STŘETU ZÁJM</w:t>
      </w:r>
      <w:r w:rsidR="000A1879">
        <w:rPr>
          <w:b/>
          <w:bCs/>
          <w:sz w:val="24"/>
          <w:szCs w:val="24"/>
        </w:rPr>
        <w:t>Ů</w:t>
      </w:r>
      <w:r w:rsidR="00A22995">
        <w:rPr>
          <w:b/>
          <w:bCs/>
          <w:sz w:val="24"/>
          <w:szCs w:val="24"/>
        </w:rPr>
        <w:t xml:space="preserve"> </w:t>
      </w:r>
      <w:r w:rsidR="004C733A" w:rsidRPr="004C733A">
        <w:rPr>
          <w:b/>
          <w:bCs/>
        </w:rPr>
        <w:t>A</w:t>
      </w:r>
      <w:r w:rsidR="004C733A">
        <w:t xml:space="preserve"> </w:t>
      </w:r>
      <w:r w:rsidR="004C733A" w:rsidRPr="004C733A">
        <w:rPr>
          <w:b/>
          <w:bCs/>
          <w:sz w:val="24"/>
          <w:szCs w:val="24"/>
        </w:rPr>
        <w:t xml:space="preserve">O OMEZUJÍCÍCH OPATŘENÍCH VZHLEDEM </w:t>
      </w:r>
      <w:r w:rsidR="00A22995">
        <w:rPr>
          <w:b/>
          <w:bCs/>
          <w:sz w:val="24"/>
          <w:szCs w:val="24"/>
        </w:rPr>
        <w:t xml:space="preserve">                                       </w:t>
      </w:r>
      <w:r w:rsidR="004C733A" w:rsidRPr="004C733A">
        <w:rPr>
          <w:b/>
          <w:bCs/>
          <w:sz w:val="24"/>
          <w:szCs w:val="24"/>
        </w:rPr>
        <w:t>K ČINNOSTEM RUSKA</w:t>
      </w:r>
      <w:r w:rsidR="001B1D6D">
        <w:rPr>
          <w:b/>
          <w:bCs/>
          <w:sz w:val="24"/>
          <w:szCs w:val="24"/>
        </w:rPr>
        <w:t xml:space="preserve"> VČ. UVEDEN</w:t>
      </w:r>
      <w:r w:rsidR="001434E7">
        <w:rPr>
          <w:b/>
          <w:bCs/>
          <w:sz w:val="24"/>
          <w:szCs w:val="24"/>
        </w:rPr>
        <w:t>Í</w:t>
      </w:r>
      <w:r w:rsidR="001B1D6D">
        <w:rPr>
          <w:b/>
          <w:bCs/>
          <w:sz w:val="24"/>
          <w:szCs w:val="24"/>
        </w:rPr>
        <w:t xml:space="preserve"> PODDODAVATELŮ</w:t>
      </w:r>
    </w:p>
    <w:p w14:paraId="5332DDD8" w14:textId="77777777" w:rsidR="000F3826" w:rsidRDefault="000F3826" w:rsidP="00C1657C">
      <w:pPr>
        <w:spacing w:before="0" w:after="0" w:line="240" w:lineRule="auto"/>
        <w:rPr>
          <w:sz w:val="24"/>
          <w:szCs w:val="24"/>
        </w:rPr>
      </w:pPr>
    </w:p>
    <w:p w14:paraId="36DA6A10" w14:textId="77777777" w:rsidR="00716CE0" w:rsidRPr="0018178B" w:rsidRDefault="00716CE0" w:rsidP="00716CE0">
      <w:pPr>
        <w:rPr>
          <w:sz w:val="24"/>
          <w:szCs w:val="24"/>
        </w:rPr>
      </w:pPr>
      <w:r w:rsidRPr="0018178B">
        <w:rPr>
          <w:sz w:val="24"/>
          <w:szCs w:val="24"/>
        </w:rPr>
        <w:t>Prodávající: [</w:t>
      </w:r>
      <w:r w:rsidRPr="0018178B">
        <w:rPr>
          <w:rFonts w:ascii="Calibri" w:eastAsia="Calibri" w:hAnsi="Calibri" w:cs="Calibri"/>
          <w:highlight w:val="yellow"/>
        </w:rPr>
        <w:t>doplní Dodavatel</w:t>
      </w:r>
      <w:r w:rsidRPr="0018178B">
        <w:rPr>
          <w:sz w:val="24"/>
          <w:szCs w:val="24"/>
        </w:rPr>
        <w:t>],</w:t>
      </w:r>
    </w:p>
    <w:p w14:paraId="7423A8C6" w14:textId="77777777" w:rsidR="00716CE0" w:rsidRPr="0018178B" w:rsidRDefault="00716CE0" w:rsidP="00716CE0">
      <w:pPr>
        <w:rPr>
          <w:sz w:val="24"/>
          <w:szCs w:val="24"/>
        </w:rPr>
      </w:pPr>
      <w:r w:rsidRPr="0018178B">
        <w:rPr>
          <w:sz w:val="24"/>
          <w:szCs w:val="24"/>
        </w:rPr>
        <w:t>se sídlem: [</w:t>
      </w:r>
      <w:r w:rsidRPr="0018178B">
        <w:rPr>
          <w:rFonts w:ascii="Calibri" w:eastAsia="Calibri" w:hAnsi="Calibri" w:cs="Calibri"/>
          <w:highlight w:val="yellow"/>
        </w:rPr>
        <w:t>doplní Dodavatel</w:t>
      </w:r>
      <w:r w:rsidRPr="0018178B">
        <w:rPr>
          <w:sz w:val="24"/>
          <w:szCs w:val="24"/>
        </w:rPr>
        <w:t>],</w:t>
      </w:r>
    </w:p>
    <w:p w14:paraId="170EA047" w14:textId="77777777" w:rsidR="00716CE0" w:rsidRPr="0018178B" w:rsidRDefault="00716CE0" w:rsidP="00716CE0">
      <w:pPr>
        <w:rPr>
          <w:sz w:val="24"/>
          <w:szCs w:val="24"/>
        </w:rPr>
      </w:pPr>
      <w:r w:rsidRPr="0018178B">
        <w:rPr>
          <w:sz w:val="24"/>
          <w:szCs w:val="24"/>
        </w:rPr>
        <w:t>IČ: [</w:t>
      </w:r>
      <w:r w:rsidRPr="0018178B">
        <w:rPr>
          <w:rFonts w:ascii="Calibri" w:eastAsia="Calibri" w:hAnsi="Calibri" w:cs="Calibri"/>
          <w:highlight w:val="yellow"/>
        </w:rPr>
        <w:t>doplní Dodavatel</w:t>
      </w:r>
      <w:r w:rsidRPr="0018178B">
        <w:rPr>
          <w:sz w:val="24"/>
          <w:szCs w:val="24"/>
        </w:rPr>
        <w:t>],</w:t>
      </w:r>
    </w:p>
    <w:p w14:paraId="27279072" w14:textId="77777777" w:rsidR="00716CE0" w:rsidRPr="0018178B" w:rsidRDefault="00716CE0" w:rsidP="00716CE0">
      <w:pPr>
        <w:rPr>
          <w:sz w:val="24"/>
          <w:szCs w:val="24"/>
        </w:rPr>
      </w:pPr>
      <w:r w:rsidRPr="0018178B">
        <w:rPr>
          <w:sz w:val="24"/>
          <w:szCs w:val="24"/>
        </w:rPr>
        <w:t>zastoupený: [</w:t>
      </w:r>
      <w:r w:rsidRPr="0018178B">
        <w:rPr>
          <w:rFonts w:ascii="Calibri" w:eastAsia="Calibri" w:hAnsi="Calibri" w:cs="Calibri"/>
          <w:highlight w:val="yellow"/>
        </w:rPr>
        <w:t>doplní Dodavatel</w:t>
      </w:r>
      <w:r w:rsidRPr="0018178B">
        <w:rPr>
          <w:sz w:val="24"/>
          <w:szCs w:val="24"/>
        </w:rPr>
        <w:t>],</w:t>
      </w:r>
    </w:p>
    <w:p w14:paraId="539FA4BC" w14:textId="06C59AF0" w:rsidR="00370F1E" w:rsidRPr="00370F1E" w:rsidRDefault="00370F1E" w:rsidP="00C1657C">
      <w:pPr>
        <w:spacing w:before="0" w:after="0" w:line="240" w:lineRule="auto"/>
        <w:rPr>
          <w:i/>
          <w:iCs/>
        </w:rPr>
      </w:pPr>
      <w:r>
        <w:rPr>
          <w:i/>
          <w:iCs/>
        </w:rPr>
        <w:t>dále jen „dodavatel“</w:t>
      </w:r>
    </w:p>
    <w:p w14:paraId="21E13FEF" w14:textId="77777777" w:rsidR="0018178B" w:rsidRPr="0018178B" w:rsidRDefault="0018178B" w:rsidP="00C1657C">
      <w:pPr>
        <w:spacing w:before="0" w:after="0" w:line="240" w:lineRule="auto"/>
        <w:rPr>
          <w:sz w:val="24"/>
          <w:szCs w:val="24"/>
        </w:rPr>
      </w:pPr>
    </w:p>
    <w:p w14:paraId="20A056DF" w14:textId="77777777" w:rsidR="004C733A" w:rsidRPr="00C1657C" w:rsidRDefault="00370F1E" w:rsidP="00C1657C">
      <w:pPr>
        <w:spacing w:before="0" w:after="0" w:line="240" w:lineRule="auto"/>
        <w:rPr>
          <w:b/>
          <w:bCs/>
          <w:sz w:val="24"/>
          <w:szCs w:val="24"/>
        </w:rPr>
      </w:pPr>
      <w:r w:rsidRPr="00C1657C">
        <w:rPr>
          <w:b/>
          <w:bCs/>
          <w:sz w:val="24"/>
          <w:szCs w:val="24"/>
        </w:rPr>
        <w:t>Dodavatel prohlašuje</w:t>
      </w:r>
      <w:r w:rsidR="004C733A" w:rsidRPr="00C1657C">
        <w:rPr>
          <w:b/>
          <w:bCs/>
          <w:sz w:val="24"/>
          <w:szCs w:val="24"/>
        </w:rPr>
        <w:t>:</w:t>
      </w:r>
    </w:p>
    <w:p w14:paraId="55E8FC27" w14:textId="54846BB4" w:rsidR="004C733A" w:rsidRPr="004C733A" w:rsidRDefault="00370F1E" w:rsidP="004C733A">
      <w:pPr>
        <w:pStyle w:val="Odstavecseseznamem"/>
        <w:numPr>
          <w:ilvl w:val="0"/>
          <w:numId w:val="8"/>
        </w:numPr>
        <w:spacing w:before="0" w:after="0" w:line="240" w:lineRule="auto"/>
        <w:ind w:left="777" w:hanging="357"/>
        <w:rPr>
          <w:sz w:val="24"/>
          <w:szCs w:val="24"/>
        </w:rPr>
      </w:pPr>
      <w:r w:rsidRPr="004C733A">
        <w:rPr>
          <w:sz w:val="24"/>
          <w:szCs w:val="24"/>
        </w:rPr>
        <w:t xml:space="preserve">že on sám i jeho případný poddodavatel (poddodavatelé) není obchodní společností, ve které veřejný funkcionář uvedený v § 2 odst. 1 písm. c) zákona č. 159/2006 </w:t>
      </w:r>
      <w:r w:rsidR="00BF72A4">
        <w:rPr>
          <w:sz w:val="24"/>
          <w:szCs w:val="24"/>
        </w:rPr>
        <w:t>S</w:t>
      </w:r>
      <w:r w:rsidRPr="004C733A">
        <w:rPr>
          <w:sz w:val="24"/>
          <w:szCs w:val="24"/>
        </w:rPr>
        <w:t xml:space="preserve">b., </w:t>
      </w:r>
      <w:r w:rsidR="004C733A">
        <w:rPr>
          <w:sz w:val="24"/>
          <w:szCs w:val="24"/>
        </w:rPr>
        <w:t xml:space="preserve">                       </w:t>
      </w:r>
      <w:r w:rsidRPr="004C733A">
        <w:rPr>
          <w:sz w:val="24"/>
          <w:szCs w:val="24"/>
        </w:rPr>
        <w:t>o střetu zájmů nebo, jím ovládaná osoba, vlastní podíl představující alespoň 25 % účasti společníka v obchodní společnosti</w:t>
      </w:r>
      <w:r w:rsidR="004C733A">
        <w:rPr>
          <w:sz w:val="24"/>
          <w:szCs w:val="24"/>
        </w:rPr>
        <w:t>;</w:t>
      </w:r>
      <w:r w:rsidRPr="004C733A">
        <w:rPr>
          <w:sz w:val="24"/>
          <w:szCs w:val="24"/>
        </w:rPr>
        <w:t xml:space="preserve"> </w:t>
      </w:r>
    </w:p>
    <w:p w14:paraId="421C7AF3" w14:textId="6721CAE3" w:rsidR="0018178B" w:rsidRDefault="00370F1E" w:rsidP="004C733A">
      <w:pPr>
        <w:pStyle w:val="Odstavecseseznamem"/>
        <w:numPr>
          <w:ilvl w:val="0"/>
          <w:numId w:val="8"/>
        </w:numPr>
        <w:spacing w:before="0" w:after="0" w:line="240" w:lineRule="auto"/>
        <w:ind w:left="777" w:hanging="357"/>
        <w:rPr>
          <w:sz w:val="24"/>
          <w:szCs w:val="24"/>
        </w:rPr>
      </w:pPr>
      <w:r w:rsidRPr="00370F1E">
        <w:rPr>
          <w:sz w:val="24"/>
          <w:szCs w:val="24"/>
        </w:rPr>
        <w:t>že se na nabízené plnění nevztahují sankce EU</w:t>
      </w:r>
      <w:r w:rsidR="004C733A">
        <w:rPr>
          <w:sz w:val="24"/>
          <w:szCs w:val="24"/>
        </w:rPr>
        <w:t xml:space="preserve"> (dle</w:t>
      </w:r>
      <w:r w:rsidR="004C733A" w:rsidRPr="004C733A">
        <w:rPr>
          <w:sz w:val="24"/>
          <w:szCs w:val="24"/>
        </w:rPr>
        <w:t xml:space="preserve">  § 2 zákona č. 69/2006 Sb., </w:t>
      </w:r>
      <w:r w:rsidR="004C733A">
        <w:rPr>
          <w:sz w:val="24"/>
          <w:szCs w:val="24"/>
        </w:rPr>
        <w:t xml:space="preserve">                               </w:t>
      </w:r>
      <w:r w:rsidR="004C733A" w:rsidRPr="004C733A">
        <w:rPr>
          <w:sz w:val="24"/>
          <w:szCs w:val="24"/>
        </w:rPr>
        <w:t>o provádění mezinárodních sankcí, ve znění pozdějších předpisů</w:t>
      </w:r>
      <w:r w:rsidR="004C733A">
        <w:rPr>
          <w:sz w:val="24"/>
          <w:szCs w:val="24"/>
        </w:rPr>
        <w:t xml:space="preserve">), </w:t>
      </w:r>
      <w:r w:rsidRPr="00370F1E">
        <w:rPr>
          <w:sz w:val="24"/>
          <w:szCs w:val="24"/>
        </w:rPr>
        <w:t xml:space="preserve"> a že on ani jeho </w:t>
      </w:r>
      <w:r>
        <w:rPr>
          <w:sz w:val="24"/>
          <w:szCs w:val="24"/>
        </w:rPr>
        <w:t>pod</w:t>
      </w:r>
      <w:r w:rsidRPr="00370F1E">
        <w:rPr>
          <w:sz w:val="24"/>
          <w:szCs w:val="24"/>
        </w:rPr>
        <w:t>dodavatel (</w:t>
      </w:r>
      <w:r>
        <w:rPr>
          <w:sz w:val="24"/>
          <w:szCs w:val="24"/>
        </w:rPr>
        <w:t>pod</w:t>
      </w:r>
      <w:r w:rsidRPr="00370F1E">
        <w:rPr>
          <w:sz w:val="24"/>
          <w:szCs w:val="24"/>
        </w:rPr>
        <w:t>dodavatelé) není osobou, subjektem či orgánem uvedeným na sankčním 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p w14:paraId="16715CEE" w14:textId="1D8C525B" w:rsidR="006B71F4" w:rsidRPr="00C1657C" w:rsidRDefault="006B71F4" w:rsidP="004C733A">
      <w:pPr>
        <w:pStyle w:val="Odstavecseseznamem"/>
        <w:numPr>
          <w:ilvl w:val="0"/>
          <w:numId w:val="8"/>
        </w:numPr>
        <w:spacing w:before="0" w:after="0" w:line="240" w:lineRule="auto"/>
        <w:ind w:left="777" w:hanging="357"/>
        <w:rPr>
          <w:sz w:val="24"/>
          <w:szCs w:val="24"/>
          <w:highlight w:val="yellow"/>
        </w:rPr>
      </w:pPr>
      <w:r>
        <w:rPr>
          <w:sz w:val="24"/>
          <w:szCs w:val="24"/>
        </w:rPr>
        <w:t xml:space="preserve">že na nabízeném plnění se </w:t>
      </w:r>
      <w:r w:rsidR="001B1D6D" w:rsidRPr="001B1D6D">
        <w:rPr>
          <w:b/>
          <w:bCs/>
          <w:sz w:val="24"/>
          <w:szCs w:val="24"/>
          <w:highlight w:val="yellow"/>
        </w:rPr>
        <w:t>nebudou</w:t>
      </w:r>
      <w:r w:rsidR="00C1657C">
        <w:rPr>
          <w:b/>
          <w:bCs/>
          <w:sz w:val="24"/>
          <w:szCs w:val="24"/>
          <w:highlight w:val="yellow"/>
        </w:rPr>
        <w:t>/budou</w:t>
      </w:r>
      <w:r w:rsidR="001B1D6D" w:rsidRPr="001B1D6D">
        <w:rPr>
          <w:b/>
          <w:bCs/>
          <w:sz w:val="24"/>
          <w:szCs w:val="24"/>
          <w:highlight w:val="yellow"/>
        </w:rPr>
        <w:t xml:space="preserve"> </w:t>
      </w:r>
      <w:r w:rsidR="00C1657C">
        <w:rPr>
          <w:b/>
          <w:bCs/>
          <w:sz w:val="24"/>
          <w:szCs w:val="24"/>
        </w:rPr>
        <w:t>účastnit</w:t>
      </w:r>
      <w:r w:rsidR="001B1D6D" w:rsidRPr="00C1657C">
        <w:rPr>
          <w:b/>
          <w:bCs/>
          <w:sz w:val="24"/>
          <w:szCs w:val="24"/>
        </w:rPr>
        <w:t xml:space="preserve"> poddodavatelé</w:t>
      </w:r>
      <w:r w:rsidR="00C1657C" w:rsidRPr="00C1657C">
        <w:rPr>
          <w:b/>
          <w:bCs/>
          <w:sz w:val="24"/>
          <w:szCs w:val="24"/>
        </w:rPr>
        <w:t xml:space="preserve"> </w:t>
      </w:r>
      <w:r w:rsidR="00C1657C">
        <w:rPr>
          <w:sz w:val="24"/>
          <w:szCs w:val="24"/>
        </w:rPr>
        <w:t>s větším</w:t>
      </w:r>
      <w:r w:rsidR="00C1657C" w:rsidRPr="00C1657C">
        <w:rPr>
          <w:sz w:val="24"/>
          <w:szCs w:val="24"/>
        </w:rPr>
        <w:t xml:space="preserve"> než 10%</w:t>
      </w:r>
      <w:r w:rsidR="00C1657C">
        <w:rPr>
          <w:sz w:val="24"/>
          <w:szCs w:val="24"/>
        </w:rPr>
        <w:t xml:space="preserve"> podílem</w:t>
      </w:r>
      <w:r w:rsidR="00C1657C" w:rsidRPr="00C1657C">
        <w:rPr>
          <w:sz w:val="24"/>
          <w:szCs w:val="24"/>
        </w:rPr>
        <w:t xml:space="preserve"> předpokládané hodnoty veřejné zakázky</w:t>
      </w:r>
      <w:r w:rsidRPr="00C1657C">
        <w:rPr>
          <w:sz w:val="24"/>
          <w:szCs w:val="24"/>
        </w:rPr>
        <w:t>:</w:t>
      </w:r>
    </w:p>
    <w:p w14:paraId="4F97C8C0" w14:textId="0CFD5DB2" w:rsidR="006B71F4" w:rsidRDefault="006B71F4" w:rsidP="006B71F4">
      <w:pPr>
        <w:pStyle w:val="Odstavecseseznamem"/>
        <w:spacing w:before="0" w:after="0" w:line="240" w:lineRule="auto"/>
        <w:ind w:left="777"/>
        <w:rPr>
          <w:sz w:val="24"/>
          <w:szCs w:val="24"/>
          <w:highlight w:val="yellow"/>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275"/>
        <w:gridCol w:w="2410"/>
        <w:gridCol w:w="3119"/>
      </w:tblGrid>
      <w:tr w:rsidR="006B71F4" w:rsidRPr="006B71F4" w14:paraId="0B08F8F9" w14:textId="77777777" w:rsidTr="000F60AA">
        <w:trPr>
          <w:trHeight w:val="397"/>
          <w:jc w:val="center"/>
        </w:trPr>
        <w:tc>
          <w:tcPr>
            <w:tcW w:w="2689" w:type="dxa"/>
            <w:shd w:val="clear" w:color="auto" w:fill="D9D9D9"/>
            <w:vAlign w:val="center"/>
          </w:tcPr>
          <w:p w14:paraId="4ADEA8A5" w14:textId="77777777" w:rsidR="006B71F4" w:rsidRPr="006B71F4" w:rsidRDefault="006B71F4" w:rsidP="006B71F4">
            <w:pPr>
              <w:tabs>
                <w:tab w:val="left" w:pos="2444"/>
                <w:tab w:val="left" w:pos="3828"/>
              </w:tabs>
              <w:spacing w:before="0" w:after="0"/>
              <w:jc w:val="center"/>
              <w:rPr>
                <w:b/>
                <w:sz w:val="20"/>
                <w:szCs w:val="20"/>
              </w:rPr>
            </w:pPr>
            <w:bookmarkStart w:id="4" w:name="_Hlk133571295"/>
            <w:r w:rsidRPr="006B71F4">
              <w:rPr>
                <w:b/>
                <w:sz w:val="20"/>
                <w:szCs w:val="20"/>
              </w:rPr>
              <w:t>Název/Obchodní firma</w:t>
            </w:r>
          </w:p>
        </w:tc>
        <w:tc>
          <w:tcPr>
            <w:tcW w:w="1275" w:type="dxa"/>
            <w:shd w:val="clear" w:color="auto" w:fill="D9D9D9"/>
            <w:vAlign w:val="center"/>
          </w:tcPr>
          <w:p w14:paraId="5AF89A5B" w14:textId="77777777" w:rsidR="006B71F4" w:rsidRPr="006B71F4" w:rsidRDefault="006B71F4" w:rsidP="00D44D6E">
            <w:pPr>
              <w:tabs>
                <w:tab w:val="left" w:pos="3828"/>
              </w:tabs>
              <w:spacing w:before="0" w:after="0"/>
              <w:jc w:val="center"/>
              <w:rPr>
                <w:b/>
                <w:sz w:val="20"/>
                <w:szCs w:val="20"/>
              </w:rPr>
            </w:pPr>
            <w:r w:rsidRPr="006B71F4">
              <w:rPr>
                <w:b/>
                <w:sz w:val="20"/>
                <w:szCs w:val="20"/>
              </w:rPr>
              <w:t>IČO</w:t>
            </w:r>
          </w:p>
        </w:tc>
        <w:tc>
          <w:tcPr>
            <w:tcW w:w="2410" w:type="dxa"/>
            <w:shd w:val="clear" w:color="auto" w:fill="D9D9D9"/>
            <w:vAlign w:val="center"/>
          </w:tcPr>
          <w:p w14:paraId="0E467BCA" w14:textId="77777777" w:rsidR="006B71F4" w:rsidRPr="006B71F4" w:rsidRDefault="006B71F4" w:rsidP="00D44D6E">
            <w:pPr>
              <w:tabs>
                <w:tab w:val="left" w:pos="3828"/>
              </w:tabs>
              <w:spacing w:before="0" w:after="0"/>
              <w:jc w:val="center"/>
              <w:rPr>
                <w:b/>
                <w:sz w:val="20"/>
                <w:szCs w:val="20"/>
              </w:rPr>
            </w:pPr>
            <w:r w:rsidRPr="006B71F4">
              <w:rPr>
                <w:b/>
                <w:sz w:val="20"/>
                <w:szCs w:val="20"/>
              </w:rPr>
              <w:t>Sídlo</w:t>
            </w:r>
          </w:p>
        </w:tc>
        <w:tc>
          <w:tcPr>
            <w:tcW w:w="3119" w:type="dxa"/>
            <w:shd w:val="clear" w:color="auto" w:fill="D9D9D9"/>
          </w:tcPr>
          <w:p w14:paraId="4107A8FC" w14:textId="77777777" w:rsidR="006B71F4" w:rsidRPr="006B71F4" w:rsidRDefault="006B71F4" w:rsidP="00D44D6E">
            <w:pPr>
              <w:tabs>
                <w:tab w:val="left" w:pos="3828"/>
              </w:tabs>
              <w:spacing w:before="0" w:after="0"/>
              <w:jc w:val="center"/>
              <w:rPr>
                <w:b/>
                <w:sz w:val="20"/>
                <w:szCs w:val="20"/>
              </w:rPr>
            </w:pPr>
            <w:r w:rsidRPr="006B71F4">
              <w:rPr>
                <w:b/>
                <w:sz w:val="20"/>
                <w:szCs w:val="20"/>
              </w:rPr>
              <w:t>Skutečný majitel/majitelé</w:t>
            </w:r>
          </w:p>
          <w:p w14:paraId="5DEA92A7" w14:textId="77777777" w:rsidR="006B71F4" w:rsidRPr="006B71F4" w:rsidRDefault="006B71F4" w:rsidP="00D44D6E">
            <w:pPr>
              <w:tabs>
                <w:tab w:val="left" w:pos="3828"/>
              </w:tabs>
              <w:spacing w:before="0" w:after="0"/>
              <w:jc w:val="center"/>
              <w:rPr>
                <w:b/>
                <w:sz w:val="20"/>
                <w:szCs w:val="20"/>
              </w:rPr>
            </w:pPr>
            <w:r w:rsidRPr="006B71F4">
              <w:rPr>
                <w:b/>
                <w:sz w:val="20"/>
                <w:szCs w:val="20"/>
              </w:rPr>
              <w:t>(Jméno a příjmení/Datum narození/Bydliště)</w:t>
            </w:r>
          </w:p>
        </w:tc>
      </w:tr>
      <w:tr w:rsidR="006B71F4" w:rsidRPr="006B71F4" w14:paraId="78D5CC14" w14:textId="77777777" w:rsidTr="000F60AA">
        <w:trPr>
          <w:trHeight w:val="686"/>
          <w:jc w:val="center"/>
        </w:trPr>
        <w:tc>
          <w:tcPr>
            <w:tcW w:w="2689" w:type="dxa"/>
            <w:vAlign w:val="center"/>
          </w:tcPr>
          <w:p w14:paraId="724415F0" w14:textId="16068334" w:rsidR="006B71F4" w:rsidRPr="001B1D6D" w:rsidRDefault="001B1D6D" w:rsidP="000F60AA">
            <w:pPr>
              <w:spacing w:before="0" w:after="0" w:line="240" w:lineRule="auto"/>
              <w:jc w:val="left"/>
              <w:rPr>
                <w:bCs/>
                <w:i/>
                <w:iCs/>
                <w:sz w:val="20"/>
                <w:szCs w:val="20"/>
              </w:rPr>
            </w:pPr>
            <w:r>
              <w:rPr>
                <w:bCs/>
                <w:i/>
                <w:iCs/>
                <w:sz w:val="20"/>
                <w:szCs w:val="20"/>
              </w:rPr>
              <w:t>Dodavatel doplní případné poddodavatelé</w:t>
            </w:r>
            <w:r>
              <w:rPr>
                <w:rStyle w:val="Znakapoznpodarou"/>
                <w:bCs/>
                <w:i/>
                <w:iCs/>
                <w:sz w:val="20"/>
                <w:szCs w:val="20"/>
              </w:rPr>
              <w:footnoteReference w:id="1"/>
            </w:r>
          </w:p>
        </w:tc>
        <w:tc>
          <w:tcPr>
            <w:tcW w:w="1275" w:type="dxa"/>
            <w:vAlign w:val="center"/>
          </w:tcPr>
          <w:p w14:paraId="390A7BD8" w14:textId="77777777" w:rsidR="006B71F4" w:rsidRPr="006B71F4" w:rsidRDefault="006B71F4" w:rsidP="000F60AA">
            <w:pPr>
              <w:tabs>
                <w:tab w:val="left" w:pos="3828"/>
              </w:tabs>
              <w:spacing w:before="0" w:after="0" w:line="240" w:lineRule="auto"/>
              <w:jc w:val="center"/>
              <w:rPr>
                <w:sz w:val="20"/>
                <w:szCs w:val="20"/>
              </w:rPr>
            </w:pPr>
          </w:p>
        </w:tc>
        <w:tc>
          <w:tcPr>
            <w:tcW w:w="2410" w:type="dxa"/>
            <w:vAlign w:val="center"/>
          </w:tcPr>
          <w:p w14:paraId="623DD76C" w14:textId="77777777" w:rsidR="006B71F4" w:rsidRPr="006B71F4" w:rsidRDefault="006B71F4" w:rsidP="000F60AA">
            <w:pPr>
              <w:tabs>
                <w:tab w:val="left" w:pos="3828"/>
              </w:tabs>
              <w:spacing w:before="0" w:after="0" w:line="240" w:lineRule="auto"/>
              <w:jc w:val="left"/>
              <w:rPr>
                <w:sz w:val="20"/>
                <w:szCs w:val="20"/>
              </w:rPr>
            </w:pPr>
          </w:p>
        </w:tc>
        <w:tc>
          <w:tcPr>
            <w:tcW w:w="3119" w:type="dxa"/>
            <w:vAlign w:val="center"/>
          </w:tcPr>
          <w:p w14:paraId="797E2EC9" w14:textId="77777777" w:rsidR="006B71F4" w:rsidRPr="006B71F4" w:rsidRDefault="006B71F4" w:rsidP="000F60AA">
            <w:pPr>
              <w:tabs>
                <w:tab w:val="left" w:pos="3828"/>
              </w:tabs>
              <w:spacing w:before="0" w:after="0" w:line="240" w:lineRule="auto"/>
              <w:jc w:val="left"/>
              <w:rPr>
                <w:sz w:val="20"/>
                <w:szCs w:val="20"/>
              </w:rPr>
            </w:pPr>
          </w:p>
        </w:tc>
      </w:tr>
      <w:tr w:rsidR="006B71F4" w:rsidRPr="006B71F4" w14:paraId="32D77BC3" w14:textId="77777777" w:rsidTr="000F60AA">
        <w:trPr>
          <w:trHeight w:val="696"/>
          <w:jc w:val="center"/>
        </w:trPr>
        <w:tc>
          <w:tcPr>
            <w:tcW w:w="2689" w:type="dxa"/>
            <w:tcBorders>
              <w:top w:val="single" w:sz="4" w:space="0" w:color="auto"/>
              <w:left w:val="single" w:sz="4" w:space="0" w:color="auto"/>
              <w:bottom w:val="single" w:sz="4" w:space="0" w:color="auto"/>
              <w:right w:val="single" w:sz="4" w:space="0" w:color="auto"/>
            </w:tcBorders>
            <w:vAlign w:val="center"/>
          </w:tcPr>
          <w:p w14:paraId="3D030D3B" w14:textId="77777777" w:rsidR="006B71F4" w:rsidRPr="006B71F4" w:rsidRDefault="006B71F4" w:rsidP="000F60AA">
            <w:pPr>
              <w:spacing w:before="0" w:after="0" w:line="240" w:lineRule="auto"/>
              <w:jc w:val="left"/>
              <w:rPr>
                <w:b/>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91F74EA" w14:textId="77777777" w:rsidR="006B71F4" w:rsidRPr="006B71F4" w:rsidRDefault="006B71F4" w:rsidP="000F60AA">
            <w:pPr>
              <w:tabs>
                <w:tab w:val="left" w:pos="3828"/>
              </w:tabs>
              <w:spacing w:before="0" w:after="0" w:line="240" w:lineRule="auto"/>
              <w:jc w:val="center"/>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6D4FEBE" w14:textId="77777777" w:rsidR="006B71F4" w:rsidRPr="006B71F4" w:rsidRDefault="006B71F4" w:rsidP="000F60AA">
            <w:pPr>
              <w:tabs>
                <w:tab w:val="left" w:pos="3828"/>
              </w:tabs>
              <w:spacing w:before="0" w:after="0" w:line="240" w:lineRule="auto"/>
              <w:jc w:val="left"/>
              <w:rPr>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343D684F" w14:textId="77777777" w:rsidR="006B71F4" w:rsidRPr="006B71F4" w:rsidRDefault="006B71F4" w:rsidP="000F60AA">
            <w:pPr>
              <w:tabs>
                <w:tab w:val="left" w:pos="3828"/>
              </w:tabs>
              <w:spacing w:before="0" w:after="0" w:line="240" w:lineRule="auto"/>
              <w:jc w:val="left"/>
              <w:rPr>
                <w:sz w:val="20"/>
                <w:szCs w:val="20"/>
              </w:rPr>
            </w:pPr>
          </w:p>
        </w:tc>
      </w:tr>
      <w:bookmarkEnd w:id="4"/>
    </w:tbl>
    <w:p w14:paraId="7ADBC003" w14:textId="77777777" w:rsidR="001B1D6D" w:rsidRDefault="001B1D6D" w:rsidP="001B1D6D">
      <w:pPr>
        <w:spacing w:before="0" w:after="0" w:line="240" w:lineRule="auto"/>
        <w:rPr>
          <w:sz w:val="24"/>
          <w:szCs w:val="24"/>
        </w:rPr>
      </w:pPr>
    </w:p>
    <w:p w14:paraId="62FB9276" w14:textId="3528D763" w:rsidR="000F3826" w:rsidRPr="000F3826" w:rsidRDefault="000F3826" w:rsidP="001B1D6D">
      <w:pPr>
        <w:spacing w:before="0" w:after="0" w:line="240" w:lineRule="auto"/>
        <w:rPr>
          <w:sz w:val="24"/>
          <w:szCs w:val="24"/>
        </w:rPr>
      </w:pPr>
      <w:r w:rsidRPr="000F3826">
        <w:rPr>
          <w:sz w:val="24"/>
          <w:szCs w:val="24"/>
        </w:rPr>
        <w:t>V [</w:t>
      </w:r>
      <w:r w:rsidRPr="000F3826">
        <w:rPr>
          <w:rFonts w:ascii="Calibri" w:eastAsia="Calibri" w:hAnsi="Calibri" w:cs="Calibri"/>
          <w:highlight w:val="yellow"/>
        </w:rPr>
        <w:t>doplní Dodavatel</w:t>
      </w:r>
      <w:r w:rsidRPr="000F3826">
        <w:rPr>
          <w:sz w:val="24"/>
          <w:szCs w:val="24"/>
        </w:rPr>
        <w:t>] dne [</w:t>
      </w:r>
      <w:r w:rsidRPr="000F3826">
        <w:rPr>
          <w:rFonts w:ascii="Calibri" w:eastAsia="Calibri" w:hAnsi="Calibri" w:cs="Calibri"/>
          <w:highlight w:val="yellow"/>
        </w:rPr>
        <w:t>doplní Dodavatel</w:t>
      </w:r>
      <w:r w:rsidRPr="000F3826">
        <w:rPr>
          <w:sz w:val="24"/>
          <w:szCs w:val="24"/>
        </w:rPr>
        <w:t xml:space="preserve">], </w:t>
      </w:r>
    </w:p>
    <w:p w14:paraId="2735E4B2" w14:textId="77777777" w:rsidR="001B1D6D" w:rsidRDefault="001B1D6D" w:rsidP="001B1D6D">
      <w:pPr>
        <w:spacing w:before="0" w:after="0" w:line="240" w:lineRule="auto"/>
        <w:rPr>
          <w:sz w:val="24"/>
          <w:szCs w:val="24"/>
        </w:rPr>
      </w:pPr>
    </w:p>
    <w:p w14:paraId="682E969A" w14:textId="2034DE03" w:rsidR="000F3826" w:rsidRPr="000F3826" w:rsidRDefault="000F3826" w:rsidP="001B1D6D">
      <w:pPr>
        <w:spacing w:before="0" w:after="0" w:line="240" w:lineRule="auto"/>
        <w:rPr>
          <w:sz w:val="24"/>
          <w:szCs w:val="24"/>
        </w:rPr>
      </w:pPr>
      <w:r w:rsidRPr="000F3826">
        <w:rPr>
          <w:sz w:val="24"/>
          <w:szCs w:val="24"/>
        </w:rPr>
        <w:t>…………………………………………………….</w:t>
      </w:r>
    </w:p>
    <w:p w14:paraId="40FEEAB0" w14:textId="39565279" w:rsidR="0018178B" w:rsidRPr="000F60AA" w:rsidRDefault="00BF72A4" w:rsidP="000F60AA">
      <w:pPr>
        <w:spacing w:before="0" w:after="0" w:line="240" w:lineRule="auto"/>
        <w:rPr>
          <w:i/>
          <w:iCs/>
          <w:sz w:val="20"/>
          <w:szCs w:val="20"/>
        </w:rPr>
      </w:pPr>
      <w:r w:rsidRPr="001B1D6D">
        <w:rPr>
          <w:i/>
          <w:iCs/>
          <w:sz w:val="20"/>
          <w:szCs w:val="20"/>
        </w:rPr>
        <w:t>Za dodavatele:</w:t>
      </w:r>
    </w:p>
    <w:sectPr w:rsidR="0018178B" w:rsidRPr="000F60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C722" w14:textId="77777777" w:rsidR="001B1D6D" w:rsidRDefault="001B1D6D" w:rsidP="001B1D6D">
      <w:pPr>
        <w:spacing w:before="0" w:after="0" w:line="240" w:lineRule="auto"/>
      </w:pPr>
      <w:r>
        <w:separator/>
      </w:r>
    </w:p>
  </w:endnote>
  <w:endnote w:type="continuationSeparator" w:id="0">
    <w:p w14:paraId="621E56A2" w14:textId="77777777" w:rsidR="001B1D6D" w:rsidRDefault="001B1D6D" w:rsidP="001B1D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C1B27" w14:textId="77777777" w:rsidR="001B1D6D" w:rsidRDefault="001B1D6D" w:rsidP="001B1D6D">
      <w:pPr>
        <w:spacing w:before="0" w:after="0" w:line="240" w:lineRule="auto"/>
      </w:pPr>
      <w:r>
        <w:separator/>
      </w:r>
    </w:p>
  </w:footnote>
  <w:footnote w:type="continuationSeparator" w:id="0">
    <w:p w14:paraId="4618FAC7" w14:textId="77777777" w:rsidR="001B1D6D" w:rsidRDefault="001B1D6D" w:rsidP="001B1D6D">
      <w:pPr>
        <w:spacing w:before="0" w:after="0" w:line="240" w:lineRule="auto"/>
      </w:pPr>
      <w:r>
        <w:continuationSeparator/>
      </w:r>
    </w:p>
  </w:footnote>
  <w:footnote w:id="1">
    <w:p w14:paraId="12E43238" w14:textId="091C18BB" w:rsidR="001B1D6D" w:rsidRPr="001B1D6D" w:rsidRDefault="001B1D6D">
      <w:pPr>
        <w:pStyle w:val="Textpoznpodarou"/>
        <w:rPr>
          <w:sz w:val="16"/>
          <w:szCs w:val="16"/>
        </w:rPr>
      </w:pPr>
      <w:r w:rsidRPr="001B1D6D">
        <w:rPr>
          <w:rStyle w:val="Znakapoznpodarou"/>
          <w:sz w:val="16"/>
          <w:szCs w:val="16"/>
        </w:rPr>
        <w:footnoteRef/>
      </w:r>
      <w:r w:rsidRPr="001B1D6D">
        <w:rPr>
          <w:sz w:val="16"/>
          <w:szCs w:val="16"/>
        </w:rPr>
        <w:t xml:space="preserve"> Dodavatel v této tabulce vyplní své identifikační údaje a v případě, že je právnickou osobou, i své skutečné majitele ve smyslu § 2 písm. e) zákona č. 37/2021 Sb., o evidenci skutečných majitelů. Dále dodavatel vyplní identifikační údaje a skutečné majitele všech jemu (v době podání nabídky) známých poddodavatelů. Poddodavatelem, kterého je dodavatel povinen v této tabulce vyplnit, může být i fyzická osoba, např. osoba samostatně výdělečně činná (OSVČ). Příkladem mohou být členové realizačního týmu, kteří nejsou zaměstnanci dodavatele (zaměstnanci dodavatele nejsou za poddodavatele považováni).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15DE0A27"/>
    <w:multiLevelType w:val="multilevel"/>
    <w:tmpl w:val="DFD81A5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79213A"/>
    <w:multiLevelType w:val="multilevel"/>
    <w:tmpl w:val="D06429C6"/>
    <w:lvl w:ilvl="0">
      <w:start w:val="1"/>
      <w:numFmt w:val="decimal"/>
      <w:pStyle w:val="slovanseznam"/>
      <w:lvlText w:val="%1"/>
      <w:lvlJc w:val="left"/>
      <w:pPr>
        <w:ind w:left="432" w:hanging="432"/>
      </w:pPr>
      <w:rPr>
        <w:sz w:val="24"/>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45D94AAF"/>
    <w:multiLevelType w:val="hybridMultilevel"/>
    <w:tmpl w:val="2FA2E398"/>
    <w:lvl w:ilvl="0" w:tplc="04050015">
      <w:start w:val="1"/>
      <w:numFmt w:val="upp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 w15:restartNumberingAfterBreak="0">
    <w:nsid w:val="49C0147B"/>
    <w:multiLevelType w:val="hybridMultilevel"/>
    <w:tmpl w:val="9F60B27C"/>
    <w:lvl w:ilvl="0" w:tplc="42121ED0">
      <w:start w:val="1"/>
      <w:numFmt w:val="lowerLetter"/>
      <w:pStyle w:val="Normln-slovanseznam"/>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5303697">
    <w:abstractNumId w:val="2"/>
  </w:num>
  <w:num w:numId="2" w16cid:durableId="1494224862">
    <w:abstractNumId w:val="4"/>
  </w:num>
  <w:num w:numId="3" w16cid:durableId="903177517">
    <w:abstractNumId w:val="4"/>
    <w:lvlOverride w:ilvl="0">
      <w:startOverride w:val="1"/>
    </w:lvlOverride>
  </w:num>
  <w:num w:numId="4" w16cid:durableId="1565946093">
    <w:abstractNumId w:val="0"/>
    <w:lvlOverride w:ilvl="0">
      <w:startOverride w:val="1"/>
    </w:lvlOverride>
    <w:lvlOverride w:ilvl="1"/>
    <w:lvlOverride w:ilvl="2"/>
    <w:lvlOverride w:ilvl="3"/>
    <w:lvlOverride w:ilvl="4"/>
    <w:lvlOverride w:ilvl="5"/>
    <w:lvlOverride w:ilvl="6"/>
    <w:lvlOverride w:ilvl="7"/>
    <w:lvlOverride w:ilvl="8"/>
  </w:num>
  <w:num w:numId="5" w16cid:durableId="42753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6350500">
    <w:abstractNumId w:val="0"/>
    <w:lvlOverride w:ilvl="0">
      <w:startOverride w:val="1"/>
    </w:lvlOverride>
  </w:num>
  <w:num w:numId="7" w16cid:durableId="1110473480">
    <w:abstractNumId w:val="0"/>
  </w:num>
  <w:num w:numId="8" w16cid:durableId="1530534321">
    <w:abstractNumId w:val="3"/>
  </w:num>
  <w:num w:numId="9" w16cid:durableId="558789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CC8"/>
    <w:rsid w:val="00007BF1"/>
    <w:rsid w:val="000A1879"/>
    <w:rsid w:val="000F3826"/>
    <w:rsid w:val="000F60AA"/>
    <w:rsid w:val="001434E7"/>
    <w:rsid w:val="0018178B"/>
    <w:rsid w:val="001B1D6D"/>
    <w:rsid w:val="00370F1E"/>
    <w:rsid w:val="003A5F00"/>
    <w:rsid w:val="00484A52"/>
    <w:rsid w:val="004C733A"/>
    <w:rsid w:val="006B71F4"/>
    <w:rsid w:val="00716CE0"/>
    <w:rsid w:val="007A1B95"/>
    <w:rsid w:val="0080456F"/>
    <w:rsid w:val="008D7CC8"/>
    <w:rsid w:val="00A22995"/>
    <w:rsid w:val="00B008CC"/>
    <w:rsid w:val="00B03CBB"/>
    <w:rsid w:val="00BF72A4"/>
    <w:rsid w:val="00C1657C"/>
    <w:rsid w:val="00D43CD4"/>
    <w:rsid w:val="00F15D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9A32"/>
  <w15:chartTrackingRefBased/>
  <w15:docId w15:val="{3395FDF8-EE93-466F-80B1-02D276AF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7CC8"/>
    <w:pPr>
      <w:spacing w:before="120" w:after="120" w:line="276" w:lineRule="auto"/>
      <w:jc w:val="both"/>
    </w:pPr>
    <w:rPr>
      <w:rFonts w:asciiTheme="majorHAnsi" w:eastAsia="Times New Roman" w:hAnsiTheme="majorHAnsi" w:cs="Times New Roman"/>
      <w:lang w:eastAsia="cs-CZ" w:bidi="cs-CZ"/>
    </w:rPr>
  </w:style>
  <w:style w:type="paragraph" w:styleId="Nadpis1">
    <w:name w:val="heading 1"/>
    <w:basedOn w:val="slovanseznam"/>
    <w:next w:val="Normln"/>
    <w:link w:val="Nadpis1Char"/>
    <w:uiPriority w:val="1"/>
    <w:qFormat/>
    <w:rsid w:val="008D7CC8"/>
    <w:pPr>
      <w:keepNext/>
      <w:keepLines/>
      <w:numPr>
        <w:numId w:val="0"/>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360" w:after="240"/>
      <w:ind w:left="432" w:hanging="432"/>
      <w:contextualSpacing w:val="0"/>
      <w:outlineLvl w:val="0"/>
    </w:pPr>
    <w:rPr>
      <w:rFonts w:eastAsiaTheme="majorEastAsia" w:cstheme="majorBidi"/>
      <w:b/>
      <w:sz w:val="24"/>
      <w:szCs w:val="32"/>
    </w:rPr>
  </w:style>
  <w:style w:type="paragraph" w:styleId="Nadpis2">
    <w:name w:val="heading 2"/>
    <w:basedOn w:val="Odstavecseseznamem"/>
    <w:next w:val="Normln"/>
    <w:link w:val="Nadpis2Char"/>
    <w:uiPriority w:val="2"/>
    <w:unhideWhenUsed/>
    <w:qFormat/>
    <w:rsid w:val="008D7CC8"/>
    <w:pPr>
      <w:keepNext/>
      <w:numPr>
        <w:ilvl w:val="1"/>
        <w:numId w:val="1"/>
      </w:numPr>
      <w:tabs>
        <w:tab w:val="left" w:pos="1701"/>
      </w:tabs>
      <w:spacing w:before="240"/>
      <w:contextualSpacing w:val="0"/>
      <w:outlineLvl w:val="1"/>
    </w:pPr>
    <w:rPr>
      <w:b/>
      <w:u w:val="single"/>
      <w:lang w:bidi="ar-SA"/>
    </w:rPr>
  </w:style>
  <w:style w:type="paragraph" w:styleId="Nadpis3">
    <w:name w:val="heading 3"/>
    <w:basedOn w:val="Normln"/>
    <w:next w:val="Normln"/>
    <w:link w:val="Nadpis3Char"/>
    <w:uiPriority w:val="9"/>
    <w:unhideWhenUsed/>
    <w:qFormat/>
    <w:rsid w:val="008D7CC8"/>
    <w:pPr>
      <w:keepNext/>
      <w:keepLines/>
      <w:numPr>
        <w:ilvl w:val="2"/>
        <w:numId w:val="1"/>
      </w:numPr>
      <w:spacing w:before="40"/>
      <w:outlineLvl w:val="2"/>
    </w:pPr>
    <w:rPr>
      <w:rFonts w:eastAsiaTheme="majorEastAsia" w:cstheme="majorBidi"/>
      <w:color w:val="1F4D78" w:themeColor="accent1" w:themeShade="7F"/>
    </w:rPr>
  </w:style>
  <w:style w:type="paragraph" w:styleId="Nadpis4">
    <w:name w:val="heading 4"/>
    <w:basedOn w:val="Normln"/>
    <w:next w:val="Normln"/>
    <w:link w:val="Nadpis4Char"/>
    <w:uiPriority w:val="9"/>
    <w:semiHidden/>
    <w:unhideWhenUsed/>
    <w:qFormat/>
    <w:rsid w:val="008D7CC8"/>
    <w:pPr>
      <w:keepNext/>
      <w:keepLines/>
      <w:numPr>
        <w:ilvl w:val="3"/>
        <w:numId w:val="1"/>
      </w:numPr>
      <w:spacing w:before="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8D7CC8"/>
    <w:pPr>
      <w:keepNext/>
      <w:keepLines/>
      <w:numPr>
        <w:ilvl w:val="4"/>
        <w:numId w:val="1"/>
      </w:numPr>
      <w:spacing w:before="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8D7CC8"/>
    <w:pPr>
      <w:keepNext/>
      <w:keepLines/>
      <w:numPr>
        <w:ilvl w:val="5"/>
        <w:numId w:val="1"/>
      </w:numPr>
      <w:spacing w:before="40"/>
      <w:outlineLvl w:val="5"/>
    </w:pPr>
    <w:rPr>
      <w:rFonts w:eastAsiaTheme="majorEastAsia" w:cstheme="majorBidi"/>
      <w:color w:val="1F4D78" w:themeColor="accent1" w:themeShade="7F"/>
    </w:rPr>
  </w:style>
  <w:style w:type="paragraph" w:styleId="Nadpis7">
    <w:name w:val="heading 7"/>
    <w:basedOn w:val="Normln"/>
    <w:next w:val="Normln"/>
    <w:link w:val="Nadpis7Char"/>
    <w:uiPriority w:val="9"/>
    <w:semiHidden/>
    <w:unhideWhenUsed/>
    <w:qFormat/>
    <w:rsid w:val="008D7CC8"/>
    <w:pPr>
      <w:keepNext/>
      <w:keepLines/>
      <w:numPr>
        <w:ilvl w:val="6"/>
        <w:numId w:val="1"/>
      </w:numPr>
      <w:spacing w:before="40"/>
      <w:outlineLvl w:val="6"/>
    </w:pPr>
    <w:rPr>
      <w:rFonts w:eastAsiaTheme="majorEastAsia" w:cstheme="majorBidi"/>
      <w:i/>
      <w:iCs/>
      <w:color w:val="1F4D78" w:themeColor="accent1" w:themeShade="7F"/>
    </w:rPr>
  </w:style>
  <w:style w:type="paragraph" w:styleId="Nadpis8">
    <w:name w:val="heading 8"/>
    <w:basedOn w:val="Normln"/>
    <w:next w:val="Normln"/>
    <w:link w:val="Nadpis8Char"/>
    <w:uiPriority w:val="9"/>
    <w:semiHidden/>
    <w:unhideWhenUsed/>
    <w:qFormat/>
    <w:rsid w:val="008D7CC8"/>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D7CC8"/>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8D7CC8"/>
    <w:rPr>
      <w:rFonts w:asciiTheme="majorHAnsi" w:eastAsiaTheme="majorEastAsia" w:hAnsiTheme="majorHAnsi" w:cstheme="majorBidi"/>
      <w:b/>
      <w:sz w:val="24"/>
      <w:szCs w:val="32"/>
      <w:shd w:val="clear" w:color="auto" w:fill="D9D9D9" w:themeFill="background1" w:themeFillShade="D9"/>
      <w:lang w:eastAsia="cs-CZ" w:bidi="cs-CZ"/>
    </w:rPr>
  </w:style>
  <w:style w:type="character" w:customStyle="1" w:styleId="Nadpis2Char">
    <w:name w:val="Nadpis 2 Char"/>
    <w:basedOn w:val="Standardnpsmoodstavce"/>
    <w:link w:val="Nadpis2"/>
    <w:uiPriority w:val="2"/>
    <w:rsid w:val="008D7CC8"/>
    <w:rPr>
      <w:rFonts w:asciiTheme="majorHAnsi" w:eastAsia="Times New Roman" w:hAnsiTheme="majorHAnsi" w:cs="Times New Roman"/>
      <w:b/>
      <w:u w:val="single"/>
      <w:lang w:eastAsia="cs-CZ"/>
    </w:rPr>
  </w:style>
  <w:style w:type="character" w:customStyle="1" w:styleId="Nadpis3Char">
    <w:name w:val="Nadpis 3 Char"/>
    <w:basedOn w:val="Standardnpsmoodstavce"/>
    <w:link w:val="Nadpis3"/>
    <w:uiPriority w:val="9"/>
    <w:rsid w:val="008D7CC8"/>
    <w:rPr>
      <w:rFonts w:asciiTheme="majorHAnsi" w:eastAsiaTheme="majorEastAsia" w:hAnsiTheme="majorHAnsi" w:cstheme="majorBidi"/>
      <w:color w:val="1F4D78" w:themeColor="accent1" w:themeShade="7F"/>
      <w:lang w:eastAsia="cs-CZ" w:bidi="cs-CZ"/>
    </w:rPr>
  </w:style>
  <w:style w:type="character" w:customStyle="1" w:styleId="Nadpis4Char">
    <w:name w:val="Nadpis 4 Char"/>
    <w:basedOn w:val="Standardnpsmoodstavce"/>
    <w:link w:val="Nadpis4"/>
    <w:uiPriority w:val="9"/>
    <w:semiHidden/>
    <w:rsid w:val="008D7CC8"/>
    <w:rPr>
      <w:rFonts w:asciiTheme="majorHAnsi" w:eastAsiaTheme="majorEastAsia" w:hAnsiTheme="majorHAnsi" w:cstheme="majorBidi"/>
      <w:i/>
      <w:iCs/>
      <w:color w:val="2E74B5" w:themeColor="accent1" w:themeShade="BF"/>
      <w:lang w:eastAsia="cs-CZ" w:bidi="cs-CZ"/>
    </w:rPr>
  </w:style>
  <w:style w:type="character" w:customStyle="1" w:styleId="Nadpis5Char">
    <w:name w:val="Nadpis 5 Char"/>
    <w:basedOn w:val="Standardnpsmoodstavce"/>
    <w:link w:val="Nadpis5"/>
    <w:uiPriority w:val="9"/>
    <w:semiHidden/>
    <w:rsid w:val="008D7CC8"/>
    <w:rPr>
      <w:rFonts w:asciiTheme="majorHAnsi" w:eastAsiaTheme="majorEastAsia" w:hAnsiTheme="majorHAnsi" w:cstheme="majorBidi"/>
      <w:color w:val="2E74B5" w:themeColor="accent1" w:themeShade="BF"/>
      <w:lang w:eastAsia="cs-CZ" w:bidi="cs-CZ"/>
    </w:rPr>
  </w:style>
  <w:style w:type="character" w:customStyle="1" w:styleId="Nadpis6Char">
    <w:name w:val="Nadpis 6 Char"/>
    <w:basedOn w:val="Standardnpsmoodstavce"/>
    <w:link w:val="Nadpis6"/>
    <w:uiPriority w:val="9"/>
    <w:semiHidden/>
    <w:rsid w:val="008D7CC8"/>
    <w:rPr>
      <w:rFonts w:asciiTheme="majorHAnsi" w:eastAsiaTheme="majorEastAsia" w:hAnsiTheme="majorHAnsi" w:cstheme="majorBidi"/>
      <w:color w:val="1F4D78" w:themeColor="accent1" w:themeShade="7F"/>
      <w:lang w:eastAsia="cs-CZ" w:bidi="cs-CZ"/>
    </w:rPr>
  </w:style>
  <w:style w:type="character" w:customStyle="1" w:styleId="Nadpis7Char">
    <w:name w:val="Nadpis 7 Char"/>
    <w:basedOn w:val="Standardnpsmoodstavce"/>
    <w:link w:val="Nadpis7"/>
    <w:uiPriority w:val="9"/>
    <w:semiHidden/>
    <w:rsid w:val="008D7CC8"/>
    <w:rPr>
      <w:rFonts w:asciiTheme="majorHAnsi" w:eastAsiaTheme="majorEastAsia" w:hAnsiTheme="majorHAnsi" w:cstheme="majorBidi"/>
      <w:i/>
      <w:iCs/>
      <w:color w:val="1F4D78" w:themeColor="accent1" w:themeShade="7F"/>
      <w:lang w:eastAsia="cs-CZ" w:bidi="cs-CZ"/>
    </w:rPr>
  </w:style>
  <w:style w:type="character" w:customStyle="1" w:styleId="Nadpis8Char">
    <w:name w:val="Nadpis 8 Char"/>
    <w:basedOn w:val="Standardnpsmoodstavce"/>
    <w:link w:val="Nadpis8"/>
    <w:uiPriority w:val="9"/>
    <w:semiHidden/>
    <w:rsid w:val="008D7CC8"/>
    <w:rPr>
      <w:rFonts w:asciiTheme="majorHAnsi" w:eastAsiaTheme="majorEastAsia" w:hAnsiTheme="majorHAnsi" w:cstheme="majorBidi"/>
      <w:color w:val="272727" w:themeColor="text1" w:themeTint="D8"/>
      <w:sz w:val="21"/>
      <w:szCs w:val="21"/>
      <w:lang w:eastAsia="cs-CZ" w:bidi="cs-CZ"/>
    </w:rPr>
  </w:style>
  <w:style w:type="character" w:customStyle="1" w:styleId="Nadpis9Char">
    <w:name w:val="Nadpis 9 Char"/>
    <w:basedOn w:val="Standardnpsmoodstavce"/>
    <w:link w:val="Nadpis9"/>
    <w:uiPriority w:val="9"/>
    <w:semiHidden/>
    <w:rsid w:val="008D7CC8"/>
    <w:rPr>
      <w:rFonts w:asciiTheme="majorHAnsi" w:eastAsiaTheme="majorEastAsia" w:hAnsiTheme="majorHAnsi" w:cstheme="majorBidi"/>
      <w:i/>
      <w:iCs/>
      <w:color w:val="272727" w:themeColor="text1" w:themeTint="D8"/>
      <w:sz w:val="21"/>
      <w:szCs w:val="21"/>
      <w:lang w:eastAsia="cs-CZ" w:bidi="cs-CZ"/>
    </w:rPr>
  </w:style>
  <w:style w:type="paragraph" w:customStyle="1" w:styleId="Normln-slovanseznam">
    <w:name w:val="Normální - číslovaný seznam"/>
    <w:basedOn w:val="Odstavecseseznamem"/>
    <w:link w:val="Normln-slovanseznamChar"/>
    <w:qFormat/>
    <w:rsid w:val="008D7CC8"/>
    <w:pPr>
      <w:numPr>
        <w:numId w:val="2"/>
      </w:numPr>
      <w:contextualSpacing w:val="0"/>
      <w:outlineLvl w:val="1"/>
    </w:pPr>
    <w:rPr>
      <w:lang w:bidi="ar-SA"/>
    </w:rPr>
  </w:style>
  <w:style w:type="character" w:customStyle="1" w:styleId="Normln-slovanseznamChar">
    <w:name w:val="Normální - číslovaný seznam Char"/>
    <w:basedOn w:val="Standardnpsmoodstavce"/>
    <w:link w:val="Normln-slovanseznam"/>
    <w:rsid w:val="008D7CC8"/>
    <w:rPr>
      <w:rFonts w:asciiTheme="majorHAnsi" w:eastAsia="Times New Roman" w:hAnsiTheme="majorHAnsi" w:cs="Times New Roman"/>
      <w:lang w:eastAsia="cs-CZ"/>
    </w:rPr>
  </w:style>
  <w:style w:type="paragraph" w:styleId="slovanseznam">
    <w:name w:val="List Number"/>
    <w:basedOn w:val="Normln"/>
    <w:uiPriority w:val="99"/>
    <w:semiHidden/>
    <w:unhideWhenUsed/>
    <w:rsid w:val="008D7CC8"/>
    <w:pPr>
      <w:numPr>
        <w:numId w:val="1"/>
      </w:numPr>
      <w:contextualSpacing/>
    </w:pPr>
  </w:style>
  <w:style w:type="paragraph" w:styleId="Odstavecseseznamem">
    <w:name w:val="List Paragraph"/>
    <w:basedOn w:val="Normln"/>
    <w:uiPriority w:val="34"/>
    <w:qFormat/>
    <w:rsid w:val="008D7CC8"/>
    <w:pPr>
      <w:ind w:left="720"/>
      <w:contextualSpacing/>
    </w:pPr>
  </w:style>
  <w:style w:type="paragraph" w:styleId="Bezmezer">
    <w:name w:val="No Spacing"/>
    <w:basedOn w:val="Normln"/>
    <w:uiPriority w:val="1"/>
    <w:qFormat/>
    <w:rsid w:val="008D7CC8"/>
    <w:pPr>
      <w:numPr>
        <w:numId w:val="4"/>
      </w:numPr>
      <w:ind w:left="714" w:hanging="357"/>
    </w:pPr>
    <w:rPr>
      <w:rFonts w:eastAsiaTheme="minorHAnsi"/>
      <w:noProof/>
      <w:lang w:eastAsia="en-US" w:bidi="ar-SA"/>
    </w:rPr>
  </w:style>
  <w:style w:type="character" w:styleId="Odkaznakoment">
    <w:name w:val="annotation reference"/>
    <w:basedOn w:val="Standardnpsmoodstavce"/>
    <w:uiPriority w:val="99"/>
    <w:semiHidden/>
    <w:unhideWhenUsed/>
    <w:rsid w:val="0018178B"/>
    <w:rPr>
      <w:sz w:val="16"/>
      <w:szCs w:val="16"/>
    </w:rPr>
  </w:style>
  <w:style w:type="paragraph" w:styleId="Textkomente">
    <w:name w:val="annotation text"/>
    <w:basedOn w:val="Normln"/>
    <w:link w:val="TextkomenteChar"/>
    <w:uiPriority w:val="99"/>
    <w:semiHidden/>
    <w:unhideWhenUsed/>
    <w:rsid w:val="0018178B"/>
    <w:pPr>
      <w:spacing w:line="240" w:lineRule="auto"/>
    </w:pPr>
    <w:rPr>
      <w:sz w:val="20"/>
      <w:szCs w:val="20"/>
    </w:rPr>
  </w:style>
  <w:style w:type="character" w:customStyle="1" w:styleId="TextkomenteChar">
    <w:name w:val="Text komentáře Char"/>
    <w:basedOn w:val="Standardnpsmoodstavce"/>
    <w:link w:val="Textkomente"/>
    <w:uiPriority w:val="99"/>
    <w:semiHidden/>
    <w:rsid w:val="0018178B"/>
    <w:rPr>
      <w:rFonts w:asciiTheme="majorHAnsi" w:eastAsia="Times New Roman" w:hAnsiTheme="majorHAnsi" w:cs="Times New Roman"/>
      <w:sz w:val="20"/>
      <w:szCs w:val="20"/>
      <w:lang w:eastAsia="cs-CZ" w:bidi="cs-CZ"/>
    </w:rPr>
  </w:style>
  <w:style w:type="paragraph" w:styleId="Pedmtkomente">
    <w:name w:val="annotation subject"/>
    <w:basedOn w:val="Textkomente"/>
    <w:next w:val="Textkomente"/>
    <w:link w:val="PedmtkomenteChar"/>
    <w:uiPriority w:val="99"/>
    <w:semiHidden/>
    <w:unhideWhenUsed/>
    <w:rsid w:val="0018178B"/>
    <w:rPr>
      <w:b/>
      <w:bCs/>
    </w:rPr>
  </w:style>
  <w:style w:type="character" w:customStyle="1" w:styleId="PedmtkomenteChar">
    <w:name w:val="Předmět komentáře Char"/>
    <w:basedOn w:val="TextkomenteChar"/>
    <w:link w:val="Pedmtkomente"/>
    <w:uiPriority w:val="99"/>
    <w:semiHidden/>
    <w:rsid w:val="0018178B"/>
    <w:rPr>
      <w:rFonts w:asciiTheme="majorHAnsi" w:eastAsia="Times New Roman" w:hAnsiTheme="majorHAnsi" w:cs="Times New Roman"/>
      <w:b/>
      <w:bCs/>
      <w:sz w:val="20"/>
      <w:szCs w:val="20"/>
      <w:lang w:eastAsia="cs-CZ" w:bidi="cs-CZ"/>
    </w:rPr>
  </w:style>
  <w:style w:type="paragraph" w:styleId="Textpoznpodarou">
    <w:name w:val="footnote text"/>
    <w:basedOn w:val="Normln"/>
    <w:link w:val="TextpoznpodarouChar"/>
    <w:uiPriority w:val="99"/>
    <w:semiHidden/>
    <w:unhideWhenUsed/>
    <w:rsid w:val="001B1D6D"/>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B1D6D"/>
    <w:rPr>
      <w:rFonts w:asciiTheme="majorHAnsi" w:eastAsia="Times New Roman" w:hAnsiTheme="majorHAnsi" w:cs="Times New Roman"/>
      <w:sz w:val="20"/>
      <w:szCs w:val="20"/>
      <w:lang w:eastAsia="cs-CZ" w:bidi="cs-CZ"/>
    </w:rPr>
  </w:style>
  <w:style w:type="character" w:styleId="Znakapoznpodarou">
    <w:name w:val="footnote reference"/>
    <w:basedOn w:val="Standardnpsmoodstavce"/>
    <w:uiPriority w:val="99"/>
    <w:semiHidden/>
    <w:unhideWhenUsed/>
    <w:rsid w:val="001B1D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603</Words>
  <Characters>3564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Univerzita Karlova</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Maškarová</dc:creator>
  <cp:keywords/>
  <dc:description/>
  <cp:lastModifiedBy>Anna Maškarová</cp:lastModifiedBy>
  <cp:revision>19</cp:revision>
  <dcterms:created xsi:type="dcterms:W3CDTF">2022-11-11T08:14:00Z</dcterms:created>
  <dcterms:modified xsi:type="dcterms:W3CDTF">2023-04-28T08:59:00Z</dcterms:modified>
</cp:coreProperties>
</file>