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0BDBC" w14:textId="77777777" w:rsidR="00020DA6" w:rsidRDefault="00020DA6" w:rsidP="00020DA6">
      <w:pPr>
        <w:spacing w:line="360" w:lineRule="auto"/>
        <w:ind w:firstLine="708"/>
        <w:rPr>
          <w:color w:val="000000" w:themeColor="text1"/>
          <w:lang w:val="en-US"/>
        </w:rPr>
      </w:pPr>
      <w:r>
        <w:rPr>
          <w:color w:val="000000" w:themeColor="text1"/>
          <w:lang w:val="en-US"/>
        </w:rPr>
        <w:t xml:space="preserve">The female religious communities represent an exceptional case, since they cannot be </w:t>
      </w:r>
      <w:r w:rsidRPr="00747493">
        <w:rPr>
          <w:color w:val="000000" w:themeColor="text1"/>
          <w:lang w:val="en-US"/>
        </w:rPr>
        <w:t xml:space="preserve">divided into the same </w:t>
      </w:r>
      <w:r>
        <w:rPr>
          <w:color w:val="000000" w:themeColor="text1"/>
          <w:lang w:val="en-US"/>
        </w:rPr>
        <w:t xml:space="preserve">distinctive </w:t>
      </w:r>
      <w:r w:rsidRPr="00747493">
        <w:rPr>
          <w:color w:val="000000" w:themeColor="text1"/>
          <w:lang w:val="en-US"/>
        </w:rPr>
        <w:t>groups as the male orders</w:t>
      </w:r>
      <w:r>
        <w:rPr>
          <w:color w:val="000000" w:themeColor="text1"/>
          <w:lang w:val="en-US"/>
        </w:rPr>
        <w:t xml:space="preserve">, </w:t>
      </w:r>
      <w:r w:rsidRPr="00747493">
        <w:rPr>
          <w:color w:val="000000" w:themeColor="text1"/>
          <w:lang w:val="en-US"/>
        </w:rPr>
        <w:t xml:space="preserve">despite the fact that </w:t>
      </w:r>
      <w:r>
        <w:rPr>
          <w:color w:val="000000" w:themeColor="text1"/>
          <w:lang w:val="en-US"/>
        </w:rPr>
        <w:t>many</w:t>
      </w:r>
      <w:r w:rsidRPr="00747493">
        <w:rPr>
          <w:color w:val="000000" w:themeColor="text1"/>
          <w:lang w:val="en-US"/>
        </w:rPr>
        <w:t xml:space="preserve"> of them arose as supplementary </w:t>
      </w:r>
      <w:r>
        <w:rPr>
          <w:color w:val="000000" w:themeColor="text1"/>
          <w:lang w:val="en-US"/>
        </w:rPr>
        <w:t>communities</w:t>
      </w:r>
      <w:r w:rsidRPr="00747493">
        <w:rPr>
          <w:color w:val="000000" w:themeColor="text1"/>
          <w:lang w:val="en-US"/>
        </w:rPr>
        <w:t xml:space="preserve"> to the male </w:t>
      </w:r>
      <w:r>
        <w:rPr>
          <w:color w:val="000000" w:themeColor="text1"/>
          <w:lang w:val="en-US"/>
        </w:rPr>
        <w:t>religious</w:t>
      </w:r>
      <w:r w:rsidRPr="00A96555">
        <w:rPr>
          <w:color w:val="000000" w:themeColor="text1"/>
          <w:lang w:val="en-US"/>
        </w:rPr>
        <w:t xml:space="preserve"> </w:t>
      </w:r>
      <w:r w:rsidRPr="00747493">
        <w:rPr>
          <w:color w:val="000000" w:themeColor="text1"/>
          <w:lang w:val="en-US"/>
        </w:rPr>
        <w:t>orders</w:t>
      </w:r>
      <w:r>
        <w:rPr>
          <w:color w:val="000000" w:themeColor="text1"/>
          <w:lang w:val="en-US"/>
        </w:rPr>
        <w:t xml:space="preserve">, whether monastic (e.g., Benedictines, Cistercians, etc.), orders of regular canons (e.g., Augustinians, Premonstratensians, etc.) or mendicants (e.g., Dominicans, Poor </w:t>
      </w:r>
      <w:proofErr w:type="spellStart"/>
      <w:r>
        <w:rPr>
          <w:color w:val="000000" w:themeColor="text1"/>
          <w:lang w:val="en-US"/>
        </w:rPr>
        <w:t>Clares</w:t>
      </w:r>
      <w:proofErr w:type="spellEnd"/>
      <w:r>
        <w:rPr>
          <w:color w:val="000000" w:themeColor="text1"/>
          <w:lang w:val="en-US"/>
        </w:rPr>
        <w:t>, etc.)</w:t>
      </w:r>
      <w:r w:rsidRPr="00747493">
        <w:rPr>
          <w:color w:val="000000" w:themeColor="text1"/>
          <w:lang w:val="en-US"/>
        </w:rPr>
        <w:t>.</w:t>
      </w:r>
      <w:r>
        <w:rPr>
          <w:color w:val="000000" w:themeColor="text1"/>
          <w:lang w:val="en-US"/>
        </w:rPr>
        <w:t xml:space="preserve"> Female</w:t>
      </w:r>
      <w:r w:rsidRPr="00747493">
        <w:rPr>
          <w:color w:val="000000" w:themeColor="text1"/>
          <w:lang w:val="en-US"/>
        </w:rPr>
        <w:t xml:space="preserve"> orders </w:t>
      </w:r>
      <w:r>
        <w:rPr>
          <w:color w:val="000000" w:themeColor="text1"/>
          <w:lang w:val="en-US"/>
        </w:rPr>
        <w:t>put</w:t>
      </w:r>
      <w:r w:rsidRPr="00747493">
        <w:rPr>
          <w:color w:val="000000" w:themeColor="text1"/>
          <w:lang w:val="en-US"/>
        </w:rPr>
        <w:t xml:space="preserve"> usually </w:t>
      </w:r>
      <w:r>
        <w:rPr>
          <w:color w:val="000000" w:themeColor="text1"/>
          <w:lang w:val="en-US"/>
        </w:rPr>
        <w:t>a significant emphasis on</w:t>
      </w:r>
      <w:r w:rsidRPr="00747493">
        <w:rPr>
          <w:color w:val="000000" w:themeColor="text1"/>
          <w:lang w:val="en-US"/>
        </w:rPr>
        <w:t xml:space="preserve"> contemplative</w:t>
      </w:r>
      <w:r>
        <w:rPr>
          <w:color w:val="000000" w:themeColor="text1"/>
          <w:lang w:val="en-US"/>
        </w:rPr>
        <w:t xml:space="preserve"> live (</w:t>
      </w:r>
      <w:r>
        <w:rPr>
          <w:i/>
          <w:iCs/>
          <w:color w:val="000000" w:themeColor="text1"/>
          <w:lang w:val="en-US"/>
        </w:rPr>
        <w:t xml:space="preserve">vita </w:t>
      </w:r>
      <w:proofErr w:type="spellStart"/>
      <w:r>
        <w:rPr>
          <w:i/>
          <w:iCs/>
          <w:color w:val="000000" w:themeColor="text1"/>
          <w:lang w:val="en-US"/>
        </w:rPr>
        <w:t>contemplativa</w:t>
      </w:r>
      <w:proofErr w:type="spellEnd"/>
      <w:r>
        <w:rPr>
          <w:color w:val="000000" w:themeColor="text1"/>
          <w:lang w:val="en-US"/>
        </w:rPr>
        <w:t>)</w:t>
      </w:r>
      <w:r w:rsidRPr="00747493">
        <w:rPr>
          <w:color w:val="000000" w:themeColor="text1"/>
          <w:lang w:val="en-US"/>
        </w:rPr>
        <w:t xml:space="preserve">, </w:t>
      </w:r>
      <w:r>
        <w:rPr>
          <w:color w:val="000000" w:themeColor="text1"/>
          <w:lang w:val="en-US"/>
        </w:rPr>
        <w:t>respected</w:t>
      </w:r>
      <w:r w:rsidRPr="00747493">
        <w:rPr>
          <w:color w:val="000000" w:themeColor="text1"/>
          <w:lang w:val="en-US"/>
        </w:rPr>
        <w:t xml:space="preserve"> a strict </w:t>
      </w:r>
      <w:r>
        <w:rPr>
          <w:color w:val="000000" w:themeColor="text1"/>
          <w:lang w:val="en-US"/>
        </w:rPr>
        <w:t xml:space="preserve">seclusion </w:t>
      </w:r>
      <w:r w:rsidRPr="00747493">
        <w:rPr>
          <w:color w:val="000000" w:themeColor="text1"/>
          <w:lang w:val="en-US"/>
        </w:rPr>
        <w:t>and ha</w:t>
      </w:r>
      <w:r>
        <w:rPr>
          <w:color w:val="000000" w:themeColor="text1"/>
          <w:lang w:val="en-US"/>
        </w:rPr>
        <w:t>d</w:t>
      </w:r>
      <w:r w:rsidRPr="00747493">
        <w:rPr>
          <w:color w:val="000000" w:themeColor="text1"/>
          <w:lang w:val="en-US"/>
        </w:rPr>
        <w:t xml:space="preserve"> a common chorus.</w:t>
      </w:r>
      <w:r>
        <w:rPr>
          <w:color w:val="000000" w:themeColor="text1"/>
          <w:lang w:val="en-US"/>
        </w:rPr>
        <w:t xml:space="preserve"> Female</w:t>
      </w:r>
      <w:r w:rsidRPr="008E1685">
        <w:rPr>
          <w:color w:val="000000" w:themeColor="text1"/>
          <w:lang w:val="en-US"/>
        </w:rPr>
        <w:t xml:space="preserve"> </w:t>
      </w:r>
      <w:r>
        <w:rPr>
          <w:color w:val="000000" w:themeColor="text1"/>
          <w:lang w:val="en-US"/>
        </w:rPr>
        <w:t>religious communities m</w:t>
      </w:r>
      <w:r w:rsidRPr="008E1685">
        <w:rPr>
          <w:color w:val="000000" w:themeColor="text1"/>
          <w:lang w:val="en-US"/>
        </w:rPr>
        <w:t xml:space="preserve">ore oriented </w:t>
      </w:r>
      <w:r>
        <w:rPr>
          <w:color w:val="000000" w:themeColor="text1"/>
          <w:lang w:val="en-US"/>
        </w:rPr>
        <w:t xml:space="preserve">on </w:t>
      </w:r>
      <w:r w:rsidRPr="008E1685">
        <w:rPr>
          <w:color w:val="000000" w:themeColor="text1"/>
          <w:lang w:val="en-US"/>
        </w:rPr>
        <w:t>activ</w:t>
      </w:r>
      <w:r>
        <w:rPr>
          <w:color w:val="000000" w:themeColor="text1"/>
          <w:lang w:val="en-US"/>
        </w:rPr>
        <w:t>e live (</w:t>
      </w:r>
      <w:r w:rsidRPr="009004AF">
        <w:rPr>
          <w:i/>
          <w:iCs/>
          <w:color w:val="000000" w:themeColor="text1"/>
          <w:lang w:val="en-US"/>
        </w:rPr>
        <w:t xml:space="preserve">vita </w:t>
      </w:r>
      <w:proofErr w:type="spellStart"/>
      <w:r w:rsidRPr="009004AF">
        <w:rPr>
          <w:i/>
          <w:iCs/>
          <w:color w:val="000000" w:themeColor="text1"/>
          <w:lang w:val="en-US"/>
        </w:rPr>
        <w:t>activa</w:t>
      </w:r>
      <w:proofErr w:type="spellEnd"/>
      <w:r>
        <w:rPr>
          <w:color w:val="000000" w:themeColor="text1"/>
          <w:lang w:val="en-US"/>
        </w:rPr>
        <w:t xml:space="preserve">) – </w:t>
      </w:r>
      <w:r w:rsidRPr="006E39C3">
        <w:rPr>
          <w:color w:val="000000" w:themeColor="text1"/>
          <w:lang w:val="en-US"/>
        </w:rPr>
        <w:t>focused in particular on care</w:t>
      </w:r>
      <w:r>
        <w:rPr>
          <w:color w:val="000000" w:themeColor="text1"/>
          <w:lang w:val="en-US"/>
        </w:rPr>
        <w:t>giving</w:t>
      </w:r>
      <w:r w:rsidRPr="006E39C3">
        <w:rPr>
          <w:color w:val="000000" w:themeColor="text1"/>
          <w:lang w:val="en-US"/>
        </w:rPr>
        <w:t xml:space="preserve"> </w:t>
      </w:r>
      <w:r>
        <w:rPr>
          <w:color w:val="000000" w:themeColor="text1"/>
          <w:lang w:val="en-US"/>
        </w:rPr>
        <w:t>in healthcare and</w:t>
      </w:r>
      <w:r w:rsidRPr="006E39C3">
        <w:rPr>
          <w:color w:val="000000" w:themeColor="text1"/>
          <w:lang w:val="en-US"/>
        </w:rPr>
        <w:t xml:space="preserve"> education</w:t>
      </w:r>
      <w:r>
        <w:rPr>
          <w:color w:val="000000" w:themeColor="text1"/>
          <w:lang w:val="en-US"/>
        </w:rPr>
        <w:t xml:space="preserve"> –,</w:t>
      </w:r>
      <w:r w:rsidRPr="008E1685">
        <w:rPr>
          <w:color w:val="000000" w:themeColor="text1"/>
          <w:lang w:val="en-US"/>
        </w:rPr>
        <w:t xml:space="preserve"> began to emerge </w:t>
      </w:r>
      <w:r>
        <w:rPr>
          <w:color w:val="000000" w:themeColor="text1"/>
          <w:lang w:val="en-US"/>
        </w:rPr>
        <w:t>until</w:t>
      </w:r>
      <w:r w:rsidRPr="008E1685">
        <w:rPr>
          <w:color w:val="000000" w:themeColor="text1"/>
          <w:lang w:val="en-US"/>
        </w:rPr>
        <w:t xml:space="preserve"> the 16</w:t>
      </w:r>
      <w:r w:rsidRPr="008E1685">
        <w:rPr>
          <w:color w:val="000000" w:themeColor="text1"/>
          <w:vertAlign w:val="superscript"/>
          <w:lang w:val="en-US"/>
        </w:rPr>
        <w:t>th</w:t>
      </w:r>
      <w:r w:rsidRPr="008E1685">
        <w:rPr>
          <w:color w:val="000000" w:themeColor="text1"/>
          <w:lang w:val="en-US"/>
        </w:rPr>
        <w:t xml:space="preserve"> and 17</w:t>
      </w:r>
      <w:r w:rsidRPr="008E1685">
        <w:rPr>
          <w:color w:val="000000" w:themeColor="text1"/>
          <w:vertAlign w:val="superscript"/>
          <w:lang w:val="en-US"/>
        </w:rPr>
        <w:t>th</w:t>
      </w:r>
      <w:r w:rsidRPr="008E1685">
        <w:rPr>
          <w:color w:val="000000" w:themeColor="text1"/>
          <w:lang w:val="en-US"/>
        </w:rPr>
        <w:t xml:space="preserve"> centuries</w:t>
      </w:r>
      <w:r>
        <w:rPr>
          <w:color w:val="000000" w:themeColor="text1"/>
          <w:lang w:val="en-US"/>
        </w:rPr>
        <w:t xml:space="preserve"> (e.g., </w:t>
      </w:r>
      <w:proofErr w:type="spellStart"/>
      <w:r>
        <w:rPr>
          <w:color w:val="000000" w:themeColor="text1"/>
          <w:lang w:val="en-US"/>
        </w:rPr>
        <w:t>Angelines</w:t>
      </w:r>
      <w:proofErr w:type="spellEnd"/>
      <w:r>
        <w:rPr>
          <w:color w:val="000000" w:themeColor="text1"/>
          <w:lang w:val="en-US"/>
        </w:rPr>
        <w:t>, etc.).</w:t>
      </w:r>
      <w:r>
        <w:rPr>
          <w:rStyle w:val="Znakapoznpodarou"/>
          <w:color w:val="000000" w:themeColor="text1"/>
          <w:lang w:val="en-US"/>
        </w:rPr>
        <w:footnoteReference w:id="1"/>
      </w:r>
    </w:p>
    <w:p w14:paraId="235383EC" w14:textId="77777777" w:rsidR="00020DA6" w:rsidRDefault="00020DA6" w:rsidP="00020DA6">
      <w:pPr>
        <w:spacing w:line="360" w:lineRule="auto"/>
        <w:ind w:firstLine="708"/>
        <w:rPr>
          <w:color w:val="000000" w:themeColor="text1"/>
          <w:lang w:val="en-US"/>
        </w:rPr>
      </w:pPr>
      <w:r w:rsidRPr="00C40186">
        <w:rPr>
          <w:color w:val="000000" w:themeColor="text1"/>
          <w:lang w:val="en-US"/>
        </w:rPr>
        <w:t>The Order of Saint Benedict (</w:t>
      </w:r>
      <w:r w:rsidRPr="00C40186">
        <w:rPr>
          <w:i/>
          <w:iCs/>
          <w:color w:val="000000" w:themeColor="text1"/>
          <w:lang w:val="en-US"/>
        </w:rPr>
        <w:t xml:space="preserve">Ordo Sancti </w:t>
      </w:r>
      <w:proofErr w:type="spellStart"/>
      <w:r w:rsidRPr="00C40186">
        <w:rPr>
          <w:i/>
          <w:iCs/>
          <w:color w:val="000000" w:themeColor="text1"/>
          <w:lang w:val="en-US"/>
        </w:rPr>
        <w:t>Benedicti</w:t>
      </w:r>
      <w:proofErr w:type="spellEnd"/>
      <w:r w:rsidRPr="00C40186">
        <w:rPr>
          <w:color w:val="000000" w:themeColor="text1"/>
          <w:lang w:val="en-US"/>
        </w:rPr>
        <w:t>) is a mendicant order which was established in around the year 529 by Saint</w:t>
      </w:r>
      <w:r>
        <w:rPr>
          <w:color w:val="000000" w:themeColor="text1"/>
          <w:lang w:val="en-US"/>
        </w:rPr>
        <w:t xml:space="preserve"> Benedict of </w:t>
      </w:r>
      <w:proofErr w:type="spellStart"/>
      <w:r>
        <w:rPr>
          <w:color w:val="000000" w:themeColor="text1"/>
          <w:lang w:val="en-US"/>
        </w:rPr>
        <w:t>Nursia</w:t>
      </w:r>
      <w:proofErr w:type="spellEnd"/>
      <w:r>
        <w:rPr>
          <w:color w:val="000000" w:themeColor="text1"/>
          <w:lang w:val="en-US"/>
        </w:rPr>
        <w:t xml:space="preserve"> (c. 480-c. 548). Its female branch </w:t>
      </w:r>
      <w:r w:rsidRPr="008E1685">
        <w:rPr>
          <w:color w:val="000000" w:themeColor="text1"/>
          <w:lang w:val="en-US"/>
        </w:rPr>
        <w:t xml:space="preserve">was </w:t>
      </w:r>
      <w:r>
        <w:rPr>
          <w:color w:val="000000" w:themeColor="text1"/>
          <w:lang w:val="en-US"/>
        </w:rPr>
        <w:t xml:space="preserve">allegedly </w:t>
      </w:r>
      <w:r w:rsidRPr="008E1685">
        <w:rPr>
          <w:color w:val="000000" w:themeColor="text1"/>
          <w:lang w:val="en-US"/>
        </w:rPr>
        <w:t xml:space="preserve">founded by </w:t>
      </w:r>
      <w:r>
        <w:rPr>
          <w:color w:val="000000" w:themeColor="text1"/>
          <w:lang w:val="en-US"/>
        </w:rPr>
        <w:t>the Saint’s sister</w:t>
      </w:r>
      <w:r w:rsidRPr="008E1685">
        <w:rPr>
          <w:color w:val="000000" w:themeColor="text1"/>
          <w:lang w:val="en-US"/>
        </w:rPr>
        <w:t xml:space="preserve"> S</w:t>
      </w:r>
      <w:r>
        <w:rPr>
          <w:color w:val="000000" w:themeColor="text1"/>
          <w:lang w:val="en-US"/>
        </w:rPr>
        <w:t>aint</w:t>
      </w:r>
      <w:r w:rsidRPr="008E1685">
        <w:rPr>
          <w:color w:val="000000" w:themeColor="text1"/>
          <w:lang w:val="en-US"/>
        </w:rPr>
        <w:t xml:space="preserve"> Scholasti</w:t>
      </w:r>
      <w:r>
        <w:rPr>
          <w:color w:val="000000" w:themeColor="text1"/>
          <w:lang w:val="en-US"/>
        </w:rPr>
        <w:t xml:space="preserve">ca (c. 480-c. 543). </w:t>
      </w:r>
      <w:r w:rsidRPr="00655135">
        <w:rPr>
          <w:color w:val="000000" w:themeColor="text1"/>
          <w:lang w:val="en-US"/>
        </w:rPr>
        <w:t xml:space="preserve">Life in the Benedictine monasteries </w:t>
      </w:r>
      <w:r>
        <w:rPr>
          <w:color w:val="000000" w:themeColor="text1"/>
          <w:lang w:val="en-US"/>
        </w:rPr>
        <w:t>has been</w:t>
      </w:r>
      <w:r w:rsidRPr="00655135">
        <w:rPr>
          <w:color w:val="000000" w:themeColor="text1"/>
          <w:lang w:val="en-US"/>
        </w:rPr>
        <w:t xml:space="preserve"> </w:t>
      </w:r>
      <w:r>
        <w:rPr>
          <w:color w:val="000000" w:themeColor="text1"/>
          <w:lang w:val="en-US"/>
        </w:rPr>
        <w:t>rul</w:t>
      </w:r>
      <w:r w:rsidRPr="00655135">
        <w:rPr>
          <w:color w:val="000000" w:themeColor="text1"/>
          <w:lang w:val="en-US"/>
        </w:rPr>
        <w:t xml:space="preserve">ed by the </w:t>
      </w:r>
      <w:r>
        <w:rPr>
          <w:color w:val="000000" w:themeColor="text1"/>
          <w:lang w:val="en-US"/>
        </w:rPr>
        <w:t>Rule</w:t>
      </w:r>
      <w:r w:rsidRPr="00655135">
        <w:rPr>
          <w:color w:val="000000" w:themeColor="text1"/>
          <w:lang w:val="en-US"/>
        </w:rPr>
        <w:t xml:space="preserve"> of </w:t>
      </w:r>
      <w:r>
        <w:rPr>
          <w:color w:val="000000" w:themeColor="text1"/>
          <w:lang w:val="en-US"/>
        </w:rPr>
        <w:t>Saint</w:t>
      </w:r>
      <w:r w:rsidRPr="00655135">
        <w:rPr>
          <w:color w:val="000000" w:themeColor="text1"/>
          <w:lang w:val="en-US"/>
        </w:rPr>
        <w:t xml:space="preserve"> Benedict, </w:t>
      </w:r>
      <w:r>
        <w:rPr>
          <w:color w:val="000000" w:themeColor="text1"/>
          <w:lang w:val="en-US"/>
        </w:rPr>
        <w:t>nevertheless,</w:t>
      </w:r>
      <w:r w:rsidRPr="00655135">
        <w:rPr>
          <w:color w:val="000000" w:themeColor="text1"/>
          <w:lang w:val="en-US"/>
        </w:rPr>
        <w:t xml:space="preserve"> </w:t>
      </w:r>
      <w:r w:rsidRPr="009C7E9E">
        <w:rPr>
          <w:color w:val="000000" w:themeColor="text1"/>
          <w:lang w:val="en-US"/>
        </w:rPr>
        <w:t xml:space="preserve">other authorities of the </w:t>
      </w:r>
      <w:r>
        <w:rPr>
          <w:color w:val="000000" w:themeColor="text1"/>
          <w:lang w:val="en-US"/>
        </w:rPr>
        <w:t>C</w:t>
      </w:r>
      <w:r w:rsidRPr="009C7E9E">
        <w:rPr>
          <w:color w:val="000000" w:themeColor="text1"/>
          <w:lang w:val="en-US"/>
        </w:rPr>
        <w:t xml:space="preserve">hurch are also worshiped, such as </w:t>
      </w:r>
      <w:r w:rsidRPr="00655135">
        <w:rPr>
          <w:color w:val="000000" w:themeColor="text1"/>
          <w:lang w:val="en-US"/>
        </w:rPr>
        <w:t>S</w:t>
      </w:r>
      <w:r>
        <w:rPr>
          <w:color w:val="000000" w:themeColor="text1"/>
          <w:lang w:val="en-US"/>
        </w:rPr>
        <w:t>aint</w:t>
      </w:r>
      <w:r w:rsidRPr="00655135">
        <w:rPr>
          <w:color w:val="000000" w:themeColor="text1"/>
          <w:lang w:val="en-US"/>
        </w:rPr>
        <w:t xml:space="preserve"> Augustine</w:t>
      </w:r>
      <w:r>
        <w:rPr>
          <w:color w:val="000000" w:themeColor="text1"/>
          <w:lang w:val="en-US"/>
        </w:rPr>
        <w:t>, etc</w:t>
      </w:r>
      <w:r w:rsidRPr="00655135">
        <w:rPr>
          <w:color w:val="000000" w:themeColor="text1"/>
          <w:lang w:val="en-US"/>
        </w:rPr>
        <w:t>.</w:t>
      </w:r>
      <w:r>
        <w:rPr>
          <w:color w:val="000000" w:themeColor="text1"/>
          <w:lang w:val="en-US"/>
        </w:rPr>
        <w:t xml:space="preserve"> </w:t>
      </w:r>
      <w:r w:rsidRPr="00655135">
        <w:rPr>
          <w:color w:val="000000" w:themeColor="text1"/>
          <w:lang w:val="en-US"/>
        </w:rPr>
        <w:t>As for the organization</w:t>
      </w:r>
      <w:r>
        <w:rPr>
          <w:color w:val="000000" w:themeColor="text1"/>
          <w:lang w:val="en-US"/>
        </w:rPr>
        <w:t xml:space="preserve"> of female Benedictine monasteries</w:t>
      </w:r>
      <w:r w:rsidRPr="00655135">
        <w:rPr>
          <w:color w:val="000000" w:themeColor="text1"/>
          <w:lang w:val="en-US"/>
        </w:rPr>
        <w:t>, the head of the big house</w:t>
      </w:r>
      <w:r>
        <w:rPr>
          <w:color w:val="000000" w:themeColor="text1"/>
          <w:lang w:val="en-US"/>
        </w:rPr>
        <w:t>s are</w:t>
      </w:r>
      <w:r w:rsidRPr="00655135">
        <w:rPr>
          <w:color w:val="000000" w:themeColor="text1"/>
          <w:lang w:val="en-US"/>
        </w:rPr>
        <w:t xml:space="preserve"> the abbess, the head of the smaller </w:t>
      </w:r>
      <w:r>
        <w:rPr>
          <w:color w:val="000000" w:themeColor="text1"/>
          <w:lang w:val="en-US"/>
        </w:rPr>
        <w:t xml:space="preserve">establishments the </w:t>
      </w:r>
      <w:r w:rsidRPr="00655135">
        <w:rPr>
          <w:color w:val="000000" w:themeColor="text1"/>
          <w:lang w:val="en-US"/>
        </w:rPr>
        <w:t>prior</w:t>
      </w:r>
      <w:r>
        <w:rPr>
          <w:color w:val="000000" w:themeColor="text1"/>
          <w:lang w:val="en-US"/>
        </w:rPr>
        <w:t>ess</w:t>
      </w:r>
      <w:r w:rsidRPr="00655135">
        <w:rPr>
          <w:color w:val="000000" w:themeColor="text1"/>
          <w:lang w:val="en-US"/>
        </w:rPr>
        <w:t>.</w:t>
      </w:r>
      <w:r>
        <w:rPr>
          <w:rStyle w:val="Znakapoznpodarou"/>
          <w:color w:val="000000" w:themeColor="text1"/>
          <w:lang w:val="en-US"/>
        </w:rPr>
        <w:footnoteReference w:id="2"/>
      </w:r>
    </w:p>
    <w:p w14:paraId="456ECEFF" w14:textId="77777777" w:rsidR="009A6740" w:rsidRPr="00020DA6" w:rsidRDefault="006158E5" w:rsidP="00020DA6"/>
    <w:sectPr w:rsidR="009A6740" w:rsidRPr="00020DA6" w:rsidSect="001970CC">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DA07E" w14:textId="77777777" w:rsidR="006158E5" w:rsidRDefault="006158E5" w:rsidP="00020DA6">
      <w:r>
        <w:separator/>
      </w:r>
    </w:p>
  </w:endnote>
  <w:endnote w:type="continuationSeparator" w:id="0">
    <w:p w14:paraId="20D40CF4" w14:textId="77777777" w:rsidR="006158E5" w:rsidRDefault="006158E5" w:rsidP="00020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ACF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32A90" w14:textId="77777777" w:rsidR="006158E5" w:rsidRDefault="006158E5" w:rsidP="00020DA6">
      <w:r>
        <w:separator/>
      </w:r>
    </w:p>
  </w:footnote>
  <w:footnote w:type="continuationSeparator" w:id="0">
    <w:p w14:paraId="4D336F40" w14:textId="77777777" w:rsidR="006158E5" w:rsidRDefault="006158E5" w:rsidP="00020DA6">
      <w:r>
        <w:continuationSeparator/>
      </w:r>
    </w:p>
  </w:footnote>
  <w:footnote w:id="1">
    <w:p w14:paraId="28EBA40C" w14:textId="77777777" w:rsidR="00020DA6" w:rsidRPr="00166F4D" w:rsidRDefault="00020DA6" w:rsidP="00020DA6">
      <w:pPr>
        <w:pStyle w:val="Textpoznpodarou"/>
        <w:contextualSpacing/>
        <w:rPr>
          <w:color w:val="000000" w:themeColor="text1"/>
          <w:sz w:val="21"/>
          <w:szCs w:val="21"/>
          <w:lang w:val="en-US"/>
        </w:rPr>
      </w:pPr>
      <w:r w:rsidRPr="00166F4D">
        <w:rPr>
          <w:rStyle w:val="Znakapoznpodarou"/>
          <w:sz w:val="21"/>
          <w:szCs w:val="21"/>
          <w:lang w:val="en-US"/>
        </w:rPr>
        <w:footnoteRef/>
      </w:r>
      <w:r w:rsidRPr="00166F4D">
        <w:rPr>
          <w:sz w:val="21"/>
          <w:szCs w:val="21"/>
          <w:lang w:val="en-US"/>
        </w:rPr>
        <w:t xml:space="preserve"> In addition, we can distinguish military orders (e.g., Order of Saint James, Knights Templar or Knights Hospitaller, etc.), which are sometimes defined as a separate category, however, Derek Beales ranks them among the orders of regular canons. Furthermore, we can distinguish also congregations of regular clerics (e.g., Jesuits or Piarists, etc.) and laics (e.g., Theatines, etc.) that began to emerge in the age of Reformation from the 16</w:t>
      </w:r>
      <w:r w:rsidRPr="00166F4D">
        <w:rPr>
          <w:sz w:val="21"/>
          <w:szCs w:val="21"/>
          <w:vertAlign w:val="superscript"/>
          <w:lang w:val="en-US"/>
        </w:rPr>
        <w:t>th</w:t>
      </w:r>
      <w:r w:rsidRPr="00166F4D">
        <w:rPr>
          <w:sz w:val="21"/>
          <w:szCs w:val="21"/>
          <w:lang w:val="en-US"/>
        </w:rPr>
        <w:t xml:space="preserve"> century onward. Eventually, there are also secular communities, societies of apostolic life and forms of consecrated life outside institutions (e.g., virgins consecrated to God or the consecration of widows), see: </w:t>
      </w:r>
      <w:r w:rsidRPr="00166F4D">
        <w:rPr>
          <w:color w:val="000000" w:themeColor="text1"/>
          <w:sz w:val="21"/>
          <w:szCs w:val="21"/>
          <w:lang w:val="en-US"/>
        </w:rPr>
        <w:t xml:space="preserve">BEACH – COCHELIN (eds.), </w:t>
      </w:r>
      <w:r w:rsidRPr="00166F4D">
        <w:rPr>
          <w:i/>
          <w:color w:val="000000" w:themeColor="text1"/>
          <w:sz w:val="21"/>
          <w:szCs w:val="21"/>
          <w:lang w:val="en-US"/>
        </w:rPr>
        <w:t>The Cambridge History</w:t>
      </w:r>
      <w:r w:rsidRPr="00166F4D">
        <w:rPr>
          <w:color w:val="000000" w:themeColor="text1"/>
          <w:sz w:val="21"/>
          <w:szCs w:val="21"/>
          <w:lang w:val="en-US"/>
        </w:rPr>
        <w:t xml:space="preserve">, vol. I., esp. chap. 3 and 9, pp. 44-45, 163-188 and vol. II, esp. chap. 41, 42, 55, 56, pp. 729-738, 766-782, 783-802, 1027-1038, 1039-1056; BEALES, </w:t>
      </w:r>
      <w:r w:rsidRPr="00166F4D">
        <w:rPr>
          <w:i/>
          <w:iCs/>
          <w:color w:val="000000" w:themeColor="text1"/>
          <w:sz w:val="21"/>
          <w:szCs w:val="21"/>
          <w:lang w:val="en-US"/>
        </w:rPr>
        <w:t>Prosperity</w:t>
      </w:r>
      <w:r w:rsidRPr="00166F4D">
        <w:rPr>
          <w:color w:val="000000" w:themeColor="text1"/>
          <w:sz w:val="21"/>
          <w:szCs w:val="21"/>
          <w:lang w:val="en-US"/>
        </w:rPr>
        <w:t xml:space="preserve">, pp. 17-23; VLČEK – SOMMER – FOLTÝN, </w:t>
      </w:r>
      <w:proofErr w:type="spellStart"/>
      <w:r w:rsidRPr="00166F4D">
        <w:rPr>
          <w:i/>
          <w:iCs/>
          <w:color w:val="000000" w:themeColor="text1"/>
          <w:sz w:val="21"/>
          <w:szCs w:val="21"/>
          <w:lang w:val="en-US"/>
        </w:rPr>
        <w:t>Encyklopedie</w:t>
      </w:r>
      <w:proofErr w:type="spellEnd"/>
      <w:r w:rsidRPr="00166F4D">
        <w:rPr>
          <w:i/>
          <w:iCs/>
          <w:color w:val="000000" w:themeColor="text1"/>
          <w:sz w:val="21"/>
          <w:szCs w:val="21"/>
          <w:lang w:val="en-US"/>
        </w:rPr>
        <w:t>,</w:t>
      </w:r>
      <w:r w:rsidRPr="00166F4D">
        <w:rPr>
          <w:color w:val="000000" w:themeColor="text1"/>
          <w:sz w:val="21"/>
          <w:szCs w:val="21"/>
          <w:lang w:val="en-US"/>
        </w:rPr>
        <w:t xml:space="preserve"> pp. 9-13.</w:t>
      </w:r>
    </w:p>
  </w:footnote>
  <w:footnote w:id="2">
    <w:p w14:paraId="55F8C701" w14:textId="77777777" w:rsidR="00020DA6" w:rsidRPr="00166F4D" w:rsidRDefault="00020DA6" w:rsidP="00020DA6">
      <w:pPr>
        <w:pStyle w:val="Textpoznpodarou"/>
        <w:contextualSpacing/>
        <w:rPr>
          <w:color w:val="000000" w:themeColor="text1"/>
          <w:sz w:val="21"/>
          <w:szCs w:val="21"/>
          <w:lang w:val="en-US"/>
        </w:rPr>
      </w:pPr>
      <w:r w:rsidRPr="00166F4D">
        <w:rPr>
          <w:rStyle w:val="Znakapoznpodarou"/>
          <w:sz w:val="21"/>
          <w:szCs w:val="21"/>
          <w:lang w:val="en-US"/>
        </w:rPr>
        <w:footnoteRef/>
      </w:r>
      <w:r w:rsidRPr="00166F4D">
        <w:rPr>
          <w:sz w:val="21"/>
          <w:szCs w:val="21"/>
          <w:lang w:val="en-US"/>
        </w:rPr>
        <w:t xml:space="preserve"> </w:t>
      </w:r>
      <w:r w:rsidRPr="00166F4D">
        <w:rPr>
          <w:color w:val="000000" w:themeColor="text1"/>
          <w:sz w:val="21"/>
          <w:szCs w:val="21"/>
          <w:lang w:val="en-US"/>
        </w:rPr>
        <w:t xml:space="preserve">VLČEK – SOMMER – FOLTÝN, </w:t>
      </w:r>
      <w:proofErr w:type="spellStart"/>
      <w:r w:rsidRPr="00166F4D">
        <w:rPr>
          <w:i/>
          <w:iCs/>
          <w:color w:val="000000" w:themeColor="text1"/>
          <w:sz w:val="21"/>
          <w:szCs w:val="21"/>
          <w:lang w:val="en-US"/>
        </w:rPr>
        <w:t>Encyklpedie</w:t>
      </w:r>
      <w:proofErr w:type="spellEnd"/>
      <w:r w:rsidRPr="00166F4D">
        <w:rPr>
          <w:color w:val="000000" w:themeColor="text1"/>
          <w:sz w:val="21"/>
          <w:szCs w:val="21"/>
          <w:lang w:val="en-US"/>
        </w:rPr>
        <w:t>, p. 112.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DA6"/>
    <w:rsid w:val="00020DA6"/>
    <w:rsid w:val="001970CC"/>
    <w:rsid w:val="006158E5"/>
    <w:rsid w:val="00D62B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14CE4BBF"/>
  <w15:chartTrackingRefBased/>
  <w15:docId w15:val="{335168A9-D9B3-964C-BDA0-87086C9C8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20DA6"/>
    <w:rPr>
      <w:rFonts w:ascii="Times New Roman" w:eastAsia="Times New Roman" w:hAnsi="Times New Roman"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020DA6"/>
    <w:rPr>
      <w:sz w:val="20"/>
      <w:szCs w:val="20"/>
    </w:rPr>
  </w:style>
  <w:style w:type="character" w:customStyle="1" w:styleId="TextpoznpodarouChar">
    <w:name w:val="Text pozn. pod čarou Char"/>
    <w:basedOn w:val="Standardnpsmoodstavce"/>
    <w:link w:val="Textpoznpodarou"/>
    <w:uiPriority w:val="99"/>
    <w:rsid w:val="00020DA6"/>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unhideWhenUsed/>
    <w:rsid w:val="00020D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201</Words>
  <Characters>1187</Characters>
  <Application>Microsoft Office Word</Application>
  <DocSecurity>0</DocSecurity>
  <Lines>9</Lines>
  <Paragraphs>2</Paragraphs>
  <ScaleCrop>false</ScaleCrop>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Brenišínová, Monika</dc:creator>
  <cp:keywords/>
  <dc:description/>
  <cp:lastModifiedBy>Brenišínová, Monika</cp:lastModifiedBy>
  <cp:revision>1</cp:revision>
  <dcterms:created xsi:type="dcterms:W3CDTF">2021-08-31T10:50:00Z</dcterms:created>
  <dcterms:modified xsi:type="dcterms:W3CDTF">2021-08-31T10:52:00Z</dcterms:modified>
</cp:coreProperties>
</file>