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53F7" w14:textId="3DFBC6C0" w:rsidR="005A0075" w:rsidRPr="00CE3AD5" w:rsidRDefault="005A0075" w:rsidP="00627527">
      <w:pPr>
        <w:spacing w:after="0"/>
        <w:jc w:val="both"/>
        <w:rPr>
          <w:rFonts w:ascii="Cambria" w:hAnsi="Cambria"/>
          <w:b/>
          <w:bCs/>
          <w:lang w:val="cs-CZ"/>
        </w:rPr>
      </w:pPr>
      <w:r w:rsidRPr="00CE3AD5">
        <w:rPr>
          <w:rFonts w:ascii="Cambria" w:hAnsi="Cambria"/>
          <w:b/>
          <w:bCs/>
          <w:lang w:val="cs-CZ"/>
        </w:rPr>
        <w:t>Příloha č. 1 – Technická specifikace</w:t>
      </w:r>
    </w:p>
    <w:p w14:paraId="7F04784E" w14:textId="2C01EEBC" w:rsidR="00CE3AD5" w:rsidRPr="00FB1D06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p w14:paraId="1DC634D7" w14:textId="77777777" w:rsidR="00CE3AD5" w:rsidRPr="00FB1D06" w:rsidRDefault="00CE3AD5" w:rsidP="00CE3AD5">
      <w:pPr>
        <w:rPr>
          <w:rFonts w:ascii="Cambria" w:eastAsia="Arial" w:hAnsi="Cambria"/>
          <w:b/>
          <w:bCs/>
          <w:lang w:val="cs-CZ"/>
        </w:rPr>
      </w:pPr>
      <w:r w:rsidRPr="00FB1D06">
        <w:rPr>
          <w:rFonts w:ascii="Cambria" w:hAnsi="Cambria"/>
          <w:b/>
          <w:bCs/>
          <w:lang w:val="cs-CZ"/>
        </w:rPr>
        <w:t xml:space="preserve">VZ </w:t>
      </w:r>
      <w:r w:rsidRPr="00FB1D06">
        <w:rPr>
          <w:rFonts w:ascii="Cambria" w:eastAsia="Arial" w:hAnsi="Cambria"/>
          <w:b/>
          <w:bCs/>
          <w:lang w:val="cs-CZ"/>
        </w:rPr>
        <w:t>„</w:t>
      </w:r>
      <w:r w:rsidRPr="00FB1D06">
        <w:rPr>
          <w:rFonts w:ascii="Cambria" w:hAnsi="Cambria"/>
          <w:b/>
          <w:bCs/>
          <w:lang w:val="cs-CZ"/>
        </w:rPr>
        <w:t xml:space="preserve">UK2LF – Modulární </w:t>
      </w:r>
      <w:proofErr w:type="spellStart"/>
      <w:r w:rsidRPr="00FB1D06">
        <w:rPr>
          <w:rFonts w:ascii="Cambria" w:hAnsi="Cambria"/>
          <w:b/>
          <w:bCs/>
          <w:lang w:val="cs-CZ"/>
        </w:rPr>
        <w:t>dvoufotonový</w:t>
      </w:r>
      <w:proofErr w:type="spellEnd"/>
      <w:r w:rsidRPr="00FB1D06">
        <w:rPr>
          <w:rFonts w:ascii="Cambria" w:hAnsi="Cambria"/>
          <w:b/>
          <w:bCs/>
          <w:lang w:val="cs-CZ"/>
        </w:rPr>
        <w:t xml:space="preserve"> mikroskop se strukturovanou iluminací</w:t>
      </w:r>
      <w:r w:rsidRPr="00FB1D06">
        <w:rPr>
          <w:rFonts w:ascii="Cambria" w:eastAsia="Arial" w:hAnsi="Cambria"/>
          <w:b/>
          <w:bCs/>
          <w:lang w:val="cs-CZ"/>
        </w:rPr>
        <w:t>"</w:t>
      </w:r>
    </w:p>
    <w:p w14:paraId="61307D55" w14:textId="38A288E5" w:rsidR="00CE3AD5" w:rsidRPr="004B70E3" w:rsidRDefault="00CE3AD5" w:rsidP="00CE3AD5">
      <w:pPr>
        <w:spacing w:after="0"/>
        <w:rPr>
          <w:rFonts w:ascii="Cambria" w:hAnsi="Cambria"/>
          <w:b/>
          <w:bCs/>
          <w:lang w:val="cs-CZ"/>
        </w:rPr>
      </w:pPr>
      <w:r w:rsidRPr="004B70E3">
        <w:rPr>
          <w:rFonts w:ascii="Cambria" w:hAnsi="Cambria"/>
          <w:b/>
          <w:bCs/>
          <w:lang w:val="cs-CZ"/>
        </w:rPr>
        <w:t xml:space="preserve">Část </w:t>
      </w:r>
      <w:r w:rsidR="004B70E3" w:rsidRPr="004B70E3">
        <w:rPr>
          <w:rFonts w:ascii="Cambria" w:hAnsi="Cambria"/>
          <w:b/>
          <w:bCs/>
          <w:lang w:val="cs-CZ"/>
        </w:rPr>
        <w:t>10</w:t>
      </w:r>
      <w:r w:rsidRPr="004B70E3">
        <w:rPr>
          <w:rFonts w:ascii="Cambria" w:hAnsi="Cambria"/>
          <w:b/>
          <w:bCs/>
          <w:lang w:val="cs-CZ"/>
        </w:rPr>
        <w:t xml:space="preserve"> VZ: „</w:t>
      </w:r>
      <w:bookmarkStart w:id="0" w:name="_Hlk120435782"/>
      <w:proofErr w:type="spellStart"/>
      <w:r w:rsidR="004B70E3" w:rsidRPr="004B70E3">
        <w:rPr>
          <w:rFonts w:ascii="Cambria" w:hAnsi="Cambria"/>
          <w:b/>
          <w:bCs/>
        </w:rPr>
        <w:t>Elektrofyziologická</w:t>
      </w:r>
      <w:proofErr w:type="spellEnd"/>
      <w:r w:rsidR="004B70E3" w:rsidRPr="004B70E3">
        <w:rPr>
          <w:rFonts w:ascii="Cambria" w:hAnsi="Cambria"/>
          <w:b/>
          <w:bCs/>
        </w:rPr>
        <w:t xml:space="preserve"> </w:t>
      </w:r>
      <w:proofErr w:type="spellStart"/>
      <w:r w:rsidR="004B70E3" w:rsidRPr="004B70E3">
        <w:rPr>
          <w:rFonts w:ascii="Cambria" w:hAnsi="Cambria"/>
          <w:b/>
          <w:bCs/>
        </w:rPr>
        <w:t>jednotka</w:t>
      </w:r>
      <w:proofErr w:type="spellEnd"/>
      <w:r w:rsidR="004B70E3" w:rsidRPr="004B70E3">
        <w:rPr>
          <w:rFonts w:ascii="Cambria" w:hAnsi="Cambria"/>
          <w:b/>
          <w:bCs/>
        </w:rPr>
        <w:t xml:space="preserve"> </w:t>
      </w:r>
      <w:proofErr w:type="spellStart"/>
      <w:r w:rsidR="004B70E3" w:rsidRPr="004B70E3">
        <w:rPr>
          <w:rFonts w:ascii="Cambria" w:hAnsi="Cambria"/>
          <w:b/>
          <w:bCs/>
        </w:rPr>
        <w:t>mikroskopu</w:t>
      </w:r>
      <w:bookmarkEnd w:id="0"/>
      <w:proofErr w:type="spellEnd"/>
      <w:r w:rsidR="004B70E3" w:rsidRPr="004B70E3">
        <w:rPr>
          <w:rFonts w:ascii="Cambria" w:hAnsi="Cambria"/>
          <w:b/>
          <w:bCs/>
          <w:lang w:val="cs-CZ"/>
        </w:rPr>
        <w:t xml:space="preserve"> </w:t>
      </w:r>
      <w:r w:rsidR="00147FBD" w:rsidRPr="004B70E3">
        <w:rPr>
          <w:rFonts w:ascii="Cambria" w:hAnsi="Cambria"/>
          <w:b/>
          <w:bCs/>
          <w:lang w:val="cs-CZ"/>
        </w:rPr>
        <w:t>”</w:t>
      </w:r>
    </w:p>
    <w:p w14:paraId="6AB1FCB9" w14:textId="45A573B0" w:rsidR="005A0075" w:rsidRPr="00CE3AD5" w:rsidRDefault="005A0075" w:rsidP="00627527">
      <w:pPr>
        <w:spacing w:after="0"/>
        <w:jc w:val="both"/>
        <w:rPr>
          <w:rFonts w:ascii="Cambria" w:hAnsi="Cambria"/>
          <w:lang w:val="cs-CZ"/>
        </w:rPr>
      </w:pPr>
    </w:p>
    <w:tbl>
      <w:tblPr>
        <w:tblW w:w="50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0"/>
        <w:gridCol w:w="4708"/>
      </w:tblGrid>
      <w:tr w:rsidR="00060308" w:rsidRPr="00A4710A" w14:paraId="17738937" w14:textId="77777777" w:rsidTr="00060308">
        <w:trPr>
          <w:trHeight w:val="737"/>
          <w:jc w:val="center"/>
        </w:trPr>
        <w:tc>
          <w:tcPr>
            <w:tcW w:w="2498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2A388FE6" w14:textId="32EEC37D" w:rsidR="00060308" w:rsidRPr="00A4710A" w:rsidRDefault="00CE3AD5">
            <w:pPr>
              <w:pStyle w:val="Odstavecseseznamem"/>
              <w:suppressAutoHyphens w:val="0"/>
              <w:spacing w:line="256" w:lineRule="auto"/>
              <w:ind w:left="22"/>
              <w:rPr>
                <w:rFonts w:ascii="Cambria" w:hAnsi="Cambria" w:cstheme="minorHAnsi"/>
                <w:b/>
                <w:caps/>
                <w:sz w:val="22"/>
                <w:szCs w:val="22"/>
                <w:u w:val="single"/>
                <w:lang w:val="cs-CZ"/>
              </w:rPr>
            </w:pP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Část </w:t>
            </w:r>
            <w:r w:rsidR="004B70E3">
              <w:rPr>
                <w:rFonts w:ascii="Cambria" w:hAnsi="Cambria"/>
                <w:b/>
                <w:sz w:val="22"/>
                <w:szCs w:val="22"/>
                <w:lang w:val="cs-CZ"/>
              </w:rPr>
              <w:t>10</w:t>
            </w:r>
            <w:r w:rsidRPr="00A4710A">
              <w:rPr>
                <w:rFonts w:ascii="Cambria" w:hAnsi="Cambria"/>
                <w:b/>
                <w:sz w:val="22"/>
                <w:szCs w:val="22"/>
                <w:lang w:val="cs-CZ"/>
              </w:rPr>
              <w:t xml:space="preserve"> VZ:</w:t>
            </w:r>
          </w:p>
        </w:tc>
        <w:tc>
          <w:tcPr>
            <w:tcW w:w="2502" w:type="pct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56F5315C" w14:textId="1E484EB9" w:rsidR="00060308" w:rsidRPr="00A4710A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color w:val="000000"/>
                <w:lang w:val="cs-CZ"/>
              </w:rPr>
            </w:pPr>
            <w:r w:rsidRPr="00A4710A">
              <w:rPr>
                <w:rFonts w:ascii="Cambria" w:hAnsi="Cambria" w:cstheme="minorHAnsi"/>
                <w:b/>
                <w:caps/>
                <w:lang w:val="cs-CZ"/>
              </w:rPr>
              <w:t xml:space="preserve">Prodávající doplní obchodní název nabízeného </w:t>
            </w:r>
            <w:r w:rsidR="005B53C4" w:rsidRPr="00A4710A">
              <w:rPr>
                <w:rFonts w:ascii="Cambria" w:hAnsi="Cambria" w:cstheme="minorHAnsi"/>
                <w:b/>
                <w:caps/>
                <w:lang w:val="cs-CZ"/>
              </w:rPr>
              <w:t>předmětu plnění</w:t>
            </w:r>
          </w:p>
        </w:tc>
      </w:tr>
      <w:tr w:rsidR="00060308" w:rsidRPr="00CE3AD5" w14:paraId="70A0186D" w14:textId="77777777" w:rsidTr="00060308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14:paraId="4663C0F2" w14:textId="77777777" w:rsidR="00060308" w:rsidRPr="00D37764" w:rsidRDefault="00060308">
            <w:pPr>
              <w:spacing w:line="256" w:lineRule="auto"/>
              <w:rPr>
                <w:rFonts w:ascii="Cambria" w:hAnsi="Cambria" w:cstheme="minorHAnsi"/>
                <w:b/>
                <w:caps/>
                <w:lang w:val="cs-CZ"/>
              </w:rPr>
            </w:pPr>
            <w:r w:rsidRPr="00D37764">
              <w:rPr>
                <w:rFonts w:ascii="Cambria" w:hAnsi="Cambria" w:cstheme="minorHAnsi"/>
                <w:b/>
                <w:lang w:val="cs-CZ"/>
              </w:rPr>
              <w:t>Popis plnění a požadované technické parametry: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BEDE611" w14:textId="77777777" w:rsidR="00060308" w:rsidRPr="00CE3AD5" w:rsidRDefault="00060308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caps/>
                <w:lang w:val="cs-CZ"/>
              </w:rPr>
            </w:pPr>
          </w:p>
        </w:tc>
      </w:tr>
      <w:tr w:rsidR="00A31596" w:rsidRPr="00533E8F" w14:paraId="0A801324" w14:textId="77777777" w:rsidTr="00E50F16">
        <w:trPr>
          <w:trHeight w:val="510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0ED4596" w14:textId="4B730A21" w:rsidR="00A31596" w:rsidRPr="00A31596" w:rsidRDefault="00A31596" w:rsidP="00A31596">
            <w:pPr>
              <w:spacing w:after="0"/>
              <w:jc w:val="both"/>
              <w:rPr>
                <w:rFonts w:ascii="Cambria" w:hAnsi="Cambria"/>
                <w:b/>
                <w:bCs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Elektrofyziologická jednotka mikroskopu </w:t>
            </w:r>
            <w:proofErr w:type="gramStart"/>
            <w:r w:rsidRPr="00A31596">
              <w:rPr>
                <w:rFonts w:ascii="Cambria" w:hAnsi="Cambria"/>
                <w:color w:val="000000" w:themeColor="text1"/>
                <w:lang w:val="cs-CZ"/>
              </w:rPr>
              <w:t>slouží</w:t>
            </w:r>
            <w:proofErr w:type="gramEnd"/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 jako nahrávací a komunikační prostředek mezi počítačem a miniaturními analogově-digitálními převodníky umístěnými přímo na hlavě pokusných zvířat.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937F1B" w14:textId="007981C1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b/>
                <w:bCs/>
                <w:caps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38E9DFFE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B1991E" w14:textId="17587925" w:rsidR="00A31596" w:rsidRPr="00A31596" w:rsidRDefault="00A31596" w:rsidP="00A31596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- Jednotka podporuje až 4 analogově-digitální převodníky značky </w:t>
            </w:r>
            <w:proofErr w:type="spellStart"/>
            <w:r w:rsidRPr="00A31596">
              <w:rPr>
                <w:rFonts w:ascii="Cambria" w:hAnsi="Cambria"/>
                <w:color w:val="000000" w:themeColor="text1"/>
                <w:lang w:val="cs-CZ"/>
              </w:rPr>
              <w:t>Intan</w:t>
            </w:r>
            <w:proofErr w:type="spellEnd"/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 Technologies (převodníky této firmy jsou v laboratoři již rutinně používány) se vzorkovací frekvencí </w:t>
            </w:r>
            <w:proofErr w:type="gramStart"/>
            <w:r w:rsidRPr="00A31596">
              <w:rPr>
                <w:rFonts w:ascii="Cambria" w:hAnsi="Cambria"/>
                <w:color w:val="000000" w:themeColor="text1"/>
                <w:lang w:val="cs-CZ"/>
              </w:rPr>
              <w:t>20-30kS</w:t>
            </w:r>
            <w:proofErr w:type="gramEnd"/>
            <w:r w:rsidRPr="00A31596">
              <w:rPr>
                <w:rFonts w:ascii="Cambria" w:hAnsi="Cambria"/>
                <w:color w:val="000000" w:themeColor="text1"/>
                <w:lang w:val="cs-CZ"/>
              </w:rPr>
              <w:t>/s.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04BD9A8" w14:textId="69A21821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5BE22B98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FE84A7" w14:textId="382C3C29" w:rsidR="00A31596" w:rsidRPr="00A31596" w:rsidRDefault="00A31596" w:rsidP="00A31596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>- Jednotka komunikuje s převodníky prostřednictvím protokolu SPI. Při maximální vzorkovací frekvenci je možné nahrávat/stimulovat až 128 nezávislých kanálů (32 kanálů na jeden převodník).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C33D795" w14:textId="0A849E95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3FB45059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13FEC25" w14:textId="140CC1D2" w:rsidR="00A31596" w:rsidRPr="00A31596" w:rsidRDefault="00A31596" w:rsidP="00A31596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- Jednotka může prostřednictvím převodníků provádět i opačnou operaci – digitálně-analogový převod a umožňuje tak použít výstupní piny (libovolný kanál) převodníku použít pro elektrickou stimulaci mozku zvířete s rozlišením alespoň &lt;50 </w:t>
            </w:r>
            <w:r w:rsidRPr="00A31596">
              <w:rPr>
                <w:rFonts w:ascii="Cambria" w:hAnsi="Cambria" w:cstheme="minorHAnsi"/>
                <w:color w:val="000000" w:themeColor="text1"/>
                <w:lang w:val="cs-CZ"/>
              </w:rPr>
              <w:t>µ</w:t>
            </w:r>
            <w:r w:rsidRPr="00A31596">
              <w:rPr>
                <w:rFonts w:ascii="Cambria" w:hAnsi="Cambria"/>
                <w:color w:val="000000" w:themeColor="text1"/>
                <w:lang w:val="cs-CZ"/>
              </w:rPr>
              <w:t>s.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1C5338BC" w14:textId="1CC45F85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3DE232A5" w14:textId="77777777" w:rsidTr="00BE460D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F8F3CD2" w14:textId="48744F5C" w:rsidR="00A31596" w:rsidRPr="00A31596" w:rsidRDefault="00A31596" w:rsidP="00A31596">
            <w:pPr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>- Jednotka umožňuje měřit impedanci jednotlivých kanálů/elektrod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51D3E0C" w14:textId="34913D4B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0E730A8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3EBF71" w14:textId="31154D7F" w:rsidR="00A31596" w:rsidRPr="00A31596" w:rsidRDefault="00A31596" w:rsidP="00A31596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>- Připojení jednotlivých převodníků má nezávislé uzemnění pro minimalizaci šumu vlivem zemnících smyček.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54335C8" w14:textId="0A5A9183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533E8F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733FA961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1389416" w14:textId="194AC925" w:rsidR="00A31596" w:rsidRPr="00A31596" w:rsidRDefault="00A31596" w:rsidP="00A31596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- Jednotka disponuje dvěma analogovými a dvěma digitálními vstupy, které mohou být zaznamenávány společně se signálem z převodníků, nebo mohou naopak sloužit </w:t>
            </w:r>
            <w:r w:rsidRPr="00A31596">
              <w:rPr>
                <w:rFonts w:ascii="Cambria" w:hAnsi="Cambria"/>
                <w:color w:val="000000" w:themeColor="text1"/>
                <w:lang w:val="cs-CZ"/>
              </w:rPr>
              <w:lastRenderedPageBreak/>
              <w:t>k časování a spouštění stimulace prostřednictvím převodníků.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295ADF6" w14:textId="3CFA9062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lastRenderedPageBreak/>
              <w:t>Prodávající k jednotlivým parametrům doplní „ano“ nebo „splňuji“ a uvede nabízené parametry/plnění.</w:t>
            </w:r>
          </w:p>
        </w:tc>
      </w:tr>
      <w:tr w:rsidR="00A31596" w:rsidRPr="00533E8F" w14:paraId="1FF84EF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F95F0CD" w14:textId="65135945" w:rsidR="00A31596" w:rsidRPr="00A31596" w:rsidRDefault="00A31596" w:rsidP="00A31596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>- Jednotku je možné rozšířit o další konektorový box s BNC konektory pro analogové výstupy, alespoň další 4 digitální vstupy a alespoň další 4 analogové vstupy.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7643BEB6" w14:textId="7381C7D4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190BE5D9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A6B7C6A" w14:textId="32549B30" w:rsidR="00A31596" w:rsidRPr="00A31596" w:rsidRDefault="00A31596" w:rsidP="00A31596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- Jednotka přenáší data do počítače pomocí USB propojení. 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890E0C5" w14:textId="54DC141D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793D3C32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8098472" w14:textId="72D24239" w:rsidR="00A31596" w:rsidRPr="00A31596" w:rsidRDefault="00A31596" w:rsidP="00A31596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>- Výrobce dodává k jednotce ovládací a data-akviziční software.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302AE919" w14:textId="19FC7F5E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4D71E036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5923A80D" w14:textId="074370FB" w:rsidR="00A31596" w:rsidRPr="00A31596" w:rsidRDefault="00A31596" w:rsidP="00A31596">
            <w:pPr>
              <w:spacing w:after="0"/>
              <w:jc w:val="both"/>
              <w:rPr>
                <w:rFonts w:ascii="Cambria" w:hAnsi="Cambria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- </w:t>
            </w:r>
            <w:proofErr w:type="gramStart"/>
            <w:r w:rsidRPr="00A31596">
              <w:rPr>
                <w:rFonts w:ascii="Cambria" w:hAnsi="Cambria"/>
                <w:color w:val="000000" w:themeColor="text1"/>
                <w:lang w:val="cs-CZ"/>
              </w:rPr>
              <w:t>Napájení  systému</w:t>
            </w:r>
            <w:proofErr w:type="gramEnd"/>
            <w:r w:rsidRPr="00A31596">
              <w:rPr>
                <w:rFonts w:ascii="Cambria" w:hAnsi="Cambria"/>
                <w:color w:val="000000" w:themeColor="text1"/>
                <w:lang w:val="cs-CZ"/>
              </w:rPr>
              <w:t xml:space="preserve"> prostřednictvím napájecí a komunikační jednotky: 220 V a max 10A.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47F2ECC3" w14:textId="06AF0308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  <w:tr w:rsidR="00A31596" w:rsidRPr="00533E8F" w14:paraId="151C6D16" w14:textId="77777777" w:rsidTr="00850CD8">
        <w:trPr>
          <w:trHeight w:val="794"/>
          <w:jc w:val="center"/>
        </w:trPr>
        <w:tc>
          <w:tcPr>
            <w:tcW w:w="2498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066F1066" w14:textId="415212CB" w:rsidR="00A31596" w:rsidRPr="00A31596" w:rsidRDefault="00A31596" w:rsidP="00A31596">
            <w:pPr>
              <w:spacing w:after="0"/>
              <w:jc w:val="both"/>
              <w:rPr>
                <w:rFonts w:ascii="Cambria" w:hAnsi="Cambria" w:cstheme="minorHAnsi"/>
                <w:color w:val="000000" w:themeColor="text1"/>
                <w:lang w:val="cs-CZ"/>
              </w:rPr>
            </w:pPr>
            <w:r w:rsidRPr="00A31596">
              <w:rPr>
                <w:rFonts w:ascii="Cambria" w:hAnsi="Cambria"/>
                <w:color w:val="000000" w:themeColor="text1"/>
                <w:lang w:val="cs-CZ"/>
              </w:rPr>
              <w:t>- Napájecí a komunikační jednotka umožňuje montáž do 19“ racku.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DD4BB25" w14:textId="03140122" w:rsidR="00A31596" w:rsidRPr="00533E8F" w:rsidRDefault="00A31596" w:rsidP="00A31596">
            <w:pPr>
              <w:tabs>
                <w:tab w:val="left" w:pos="720"/>
              </w:tabs>
              <w:spacing w:line="256" w:lineRule="auto"/>
              <w:rPr>
                <w:rFonts w:ascii="Cambria" w:hAnsi="Cambria" w:cstheme="minorHAnsi"/>
                <w:lang w:val="cs-CZ"/>
              </w:rPr>
            </w:pPr>
            <w:r w:rsidRPr="002146F9">
              <w:rPr>
                <w:rFonts w:ascii="Cambria" w:hAnsi="Cambria" w:cstheme="minorHAnsi"/>
                <w:lang w:val="cs-CZ"/>
              </w:rPr>
              <w:t>Prodávající k jednotlivým parametrům doplní „ano“ nebo „splňuji“ a uvede nabízené parametry/plnění.</w:t>
            </w:r>
          </w:p>
        </w:tc>
      </w:tr>
    </w:tbl>
    <w:p w14:paraId="6BA2418E" w14:textId="77777777" w:rsidR="00533E8F" w:rsidRDefault="00533E8F" w:rsidP="00533E8F">
      <w:pPr>
        <w:spacing w:after="0"/>
        <w:jc w:val="both"/>
        <w:rPr>
          <w:rFonts w:ascii="Cambria" w:hAnsi="Cambria"/>
          <w:lang w:val="cs-CZ"/>
        </w:rPr>
      </w:pPr>
    </w:p>
    <w:p w14:paraId="67E3665A" w14:textId="2758FE97" w:rsidR="00627527" w:rsidRPr="00533E8F" w:rsidRDefault="00627527" w:rsidP="00627527">
      <w:pPr>
        <w:spacing w:after="0"/>
        <w:jc w:val="both"/>
        <w:rPr>
          <w:rFonts w:ascii="Cambria" w:hAnsi="Cambria"/>
          <w:lang w:val="cs-CZ"/>
        </w:rPr>
      </w:pPr>
    </w:p>
    <w:p w14:paraId="6F235AB8" w14:textId="77777777" w:rsidR="00CE3AD5" w:rsidRPr="00CE3AD5" w:rsidRDefault="00CE3AD5" w:rsidP="00627527">
      <w:pPr>
        <w:spacing w:after="0"/>
        <w:jc w:val="both"/>
        <w:rPr>
          <w:rFonts w:ascii="Cambria" w:hAnsi="Cambria"/>
          <w:lang w:val="cs-CZ"/>
        </w:rPr>
      </w:pPr>
    </w:p>
    <w:sectPr w:rsidR="00CE3AD5" w:rsidRPr="00CE3AD5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8531" w14:textId="77777777" w:rsidR="002F6CBD" w:rsidRDefault="002F6CBD" w:rsidP="005A0075">
      <w:pPr>
        <w:spacing w:after="0" w:line="240" w:lineRule="auto"/>
      </w:pPr>
      <w:r>
        <w:separator/>
      </w:r>
    </w:p>
  </w:endnote>
  <w:endnote w:type="continuationSeparator" w:id="0">
    <w:p w14:paraId="4E1F3CAE" w14:textId="77777777" w:rsidR="002F6CBD" w:rsidRDefault="002F6CBD" w:rsidP="005A0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74A3E" w14:textId="77777777" w:rsidR="002F6CBD" w:rsidRDefault="002F6CBD" w:rsidP="005A0075">
      <w:pPr>
        <w:spacing w:after="0" w:line="240" w:lineRule="auto"/>
      </w:pPr>
      <w:r>
        <w:separator/>
      </w:r>
    </w:p>
  </w:footnote>
  <w:footnote w:type="continuationSeparator" w:id="0">
    <w:p w14:paraId="7B4C458D" w14:textId="77777777" w:rsidR="002F6CBD" w:rsidRDefault="002F6CBD" w:rsidP="005A0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F31" w14:textId="77777777" w:rsidR="005A0075" w:rsidRDefault="005A0075" w:rsidP="005A0075">
    <w:pPr>
      <w:pStyle w:val="Zhlav"/>
      <w:tabs>
        <w:tab w:val="clear" w:pos="4536"/>
        <w:tab w:val="clear" w:pos="9072"/>
        <w:tab w:val="left" w:pos="1980"/>
        <w:tab w:val="left" w:pos="5820"/>
      </w:tabs>
      <w:ind w:right="-291"/>
    </w:pPr>
    <w:r w:rsidRPr="001A2435">
      <w:rPr>
        <w:noProof/>
      </w:rPr>
      <w:drawing>
        <wp:inline distT="0" distB="0" distL="0" distR="0" wp14:anchorId="341A28B4" wp14:editId="6A985070">
          <wp:extent cx="733425" cy="542925"/>
          <wp:effectExtent l="0" t="0" r="9525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</w:t>
    </w:r>
    <w:r w:rsidRPr="001A2435">
      <w:rPr>
        <w:noProof/>
      </w:rPr>
      <w:drawing>
        <wp:inline distT="0" distB="0" distL="0" distR="0" wp14:anchorId="7052CABA" wp14:editId="33382CF2">
          <wp:extent cx="1285875" cy="540128"/>
          <wp:effectExtent l="0" t="0" r="9525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cký objekt 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5875" cy="539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A2435">
      <w:rPr>
        <w:noProof/>
      </w:rPr>
      <w:drawing>
        <wp:inline distT="0" distB="0" distL="0" distR="0" wp14:anchorId="0D20FEA2" wp14:editId="45D5419A">
          <wp:extent cx="2028825" cy="542925"/>
          <wp:effectExtent l="0" t="0" r="9525" b="9525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C96CBB" w14:textId="77777777" w:rsidR="005A0075" w:rsidRDefault="005A007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27"/>
    <w:rsid w:val="0005412C"/>
    <w:rsid w:val="00060308"/>
    <w:rsid w:val="0013208C"/>
    <w:rsid w:val="00147FBD"/>
    <w:rsid w:val="001B5ED8"/>
    <w:rsid w:val="001E7141"/>
    <w:rsid w:val="002228C1"/>
    <w:rsid w:val="00242A5D"/>
    <w:rsid w:val="00251367"/>
    <w:rsid w:val="00254905"/>
    <w:rsid w:val="002D3A99"/>
    <w:rsid w:val="002F6CBD"/>
    <w:rsid w:val="00311F52"/>
    <w:rsid w:val="003713E5"/>
    <w:rsid w:val="003A2C77"/>
    <w:rsid w:val="004B70E3"/>
    <w:rsid w:val="00533E8F"/>
    <w:rsid w:val="005A0075"/>
    <w:rsid w:val="005B53C4"/>
    <w:rsid w:val="00627527"/>
    <w:rsid w:val="006967A0"/>
    <w:rsid w:val="00750D99"/>
    <w:rsid w:val="0075233A"/>
    <w:rsid w:val="00776AF3"/>
    <w:rsid w:val="00792E0F"/>
    <w:rsid w:val="007D4732"/>
    <w:rsid w:val="008830EC"/>
    <w:rsid w:val="008A2FA6"/>
    <w:rsid w:val="0092218B"/>
    <w:rsid w:val="0095458B"/>
    <w:rsid w:val="00980916"/>
    <w:rsid w:val="009B6479"/>
    <w:rsid w:val="00A31596"/>
    <w:rsid w:val="00A4710A"/>
    <w:rsid w:val="00AA2141"/>
    <w:rsid w:val="00AB732D"/>
    <w:rsid w:val="00B40DBF"/>
    <w:rsid w:val="00B62AB5"/>
    <w:rsid w:val="00B768EB"/>
    <w:rsid w:val="00B83AE9"/>
    <w:rsid w:val="00BB7A22"/>
    <w:rsid w:val="00BC2740"/>
    <w:rsid w:val="00C6728F"/>
    <w:rsid w:val="00CC4100"/>
    <w:rsid w:val="00CE3AD5"/>
    <w:rsid w:val="00D37764"/>
    <w:rsid w:val="00D9469C"/>
    <w:rsid w:val="00E80583"/>
    <w:rsid w:val="00EE54A8"/>
    <w:rsid w:val="00F22B33"/>
    <w:rsid w:val="00F24C54"/>
    <w:rsid w:val="00F27145"/>
    <w:rsid w:val="00F36D96"/>
    <w:rsid w:val="00F86F5F"/>
    <w:rsid w:val="00F9545E"/>
    <w:rsid w:val="00FB1B60"/>
    <w:rsid w:val="00FB1D0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1AF9"/>
  <w15:chartTrackingRefBased/>
  <w15:docId w15:val="{1E0FC336-1863-406E-B739-089BE83A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A0075"/>
  </w:style>
  <w:style w:type="paragraph" w:styleId="Zpat">
    <w:name w:val="footer"/>
    <w:basedOn w:val="Normln"/>
    <w:link w:val="ZpatChar"/>
    <w:uiPriority w:val="99"/>
    <w:unhideWhenUsed/>
    <w:rsid w:val="005A0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A0075"/>
  </w:style>
  <w:style w:type="paragraph" w:styleId="Revize">
    <w:name w:val="Revision"/>
    <w:hidden/>
    <w:uiPriority w:val="99"/>
    <w:semiHidden/>
    <w:rsid w:val="00FB1B60"/>
    <w:pPr>
      <w:spacing w:after="0" w:line="240" w:lineRule="auto"/>
    </w:pPr>
  </w:style>
  <w:style w:type="character" w:customStyle="1" w:styleId="OdstavecseseznamemChar">
    <w:name w:val="Odstavec se seznamem Char"/>
    <w:aliases w:val="Odstavec_muj Char,Nad Char,Smlouva-Odst. Char"/>
    <w:link w:val="Odstavecseseznamem"/>
    <w:uiPriority w:val="34"/>
    <w:qFormat/>
    <w:locked/>
    <w:rsid w:val="000603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Odstavec_muj,Nad,Smlouva-Odst."/>
    <w:basedOn w:val="Normln"/>
    <w:link w:val="OdstavecseseznamemChar"/>
    <w:uiPriority w:val="34"/>
    <w:qFormat/>
    <w:rsid w:val="0006030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CE3A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E3A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3A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3A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3A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Ondrej Novak</dc:creator>
  <cp:keywords/>
  <dc:description/>
  <cp:lastModifiedBy>Mgr. Michal Veselý</cp:lastModifiedBy>
  <cp:revision>3</cp:revision>
  <cp:lastPrinted>2022-07-21T10:52:00Z</cp:lastPrinted>
  <dcterms:created xsi:type="dcterms:W3CDTF">2022-11-27T18:39:00Z</dcterms:created>
  <dcterms:modified xsi:type="dcterms:W3CDTF">2022-11-27T18:41:00Z</dcterms:modified>
</cp:coreProperties>
</file>