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34C" w:rsidRDefault="00BC134C" w:rsidP="00BC134C">
      <w:pPr>
        <w:pStyle w:val="Nzev"/>
        <w:pBdr>
          <w:bottom w:val="double" w:sz="6" w:space="1" w:color="auto"/>
        </w:pBdr>
        <w:ind w:firstLine="0"/>
        <w:rPr>
          <w:b/>
          <w:sz w:val="32"/>
        </w:rPr>
      </w:pPr>
      <w:bookmarkStart w:id="0" w:name="_Toc293901024"/>
    </w:p>
    <w:p w:rsidR="00BC134C" w:rsidRDefault="00BC134C" w:rsidP="00BC134C">
      <w:pPr>
        <w:pStyle w:val="Nzev"/>
        <w:pBdr>
          <w:bottom w:val="double" w:sz="6" w:space="1" w:color="auto"/>
        </w:pBdr>
        <w:ind w:firstLine="0"/>
        <w:rPr>
          <w:b/>
          <w:sz w:val="32"/>
        </w:rPr>
      </w:pPr>
    </w:p>
    <w:p w:rsidR="00BC134C" w:rsidRDefault="00BC134C" w:rsidP="00BC134C">
      <w:pPr>
        <w:pStyle w:val="Nzev"/>
        <w:pBdr>
          <w:bottom w:val="double" w:sz="6" w:space="1" w:color="auto"/>
        </w:pBdr>
        <w:ind w:firstLine="0"/>
        <w:rPr>
          <w:b/>
          <w:sz w:val="32"/>
        </w:rPr>
      </w:pPr>
    </w:p>
    <w:p w:rsidR="00BC134C" w:rsidRDefault="00BC134C" w:rsidP="00BC134C">
      <w:pPr>
        <w:pStyle w:val="Nzev"/>
        <w:pBdr>
          <w:bottom w:val="double" w:sz="6" w:space="1" w:color="auto"/>
        </w:pBdr>
        <w:ind w:firstLine="0"/>
        <w:rPr>
          <w:b/>
          <w:sz w:val="32"/>
        </w:rPr>
      </w:pPr>
    </w:p>
    <w:p w:rsidR="00BC134C" w:rsidRDefault="00BC134C" w:rsidP="00BC134C">
      <w:pPr>
        <w:pStyle w:val="Nzev"/>
        <w:pBdr>
          <w:bottom w:val="double" w:sz="6" w:space="1" w:color="auto"/>
        </w:pBdr>
        <w:ind w:firstLine="0"/>
        <w:rPr>
          <w:b/>
          <w:sz w:val="32"/>
        </w:rPr>
      </w:pPr>
    </w:p>
    <w:p w:rsidR="00BC134C" w:rsidRDefault="00BC134C" w:rsidP="00BC134C">
      <w:pPr>
        <w:pStyle w:val="Nzev"/>
        <w:pBdr>
          <w:bottom w:val="double" w:sz="6" w:space="1" w:color="auto"/>
        </w:pBdr>
        <w:ind w:firstLine="0"/>
        <w:rPr>
          <w:b/>
          <w:sz w:val="32"/>
        </w:rPr>
      </w:pPr>
    </w:p>
    <w:p w:rsidR="00BC134C" w:rsidRPr="009F7C70" w:rsidRDefault="00BC134C" w:rsidP="00BC134C">
      <w:pPr>
        <w:pStyle w:val="Nzev"/>
        <w:pBdr>
          <w:bottom w:val="double" w:sz="6" w:space="1" w:color="auto"/>
        </w:pBdr>
        <w:ind w:firstLine="0"/>
        <w:rPr>
          <w:b/>
          <w:sz w:val="32"/>
        </w:rPr>
      </w:pPr>
      <w:r w:rsidRPr="009F7C70">
        <w:rPr>
          <w:b/>
          <w:sz w:val="32"/>
        </w:rPr>
        <w:t xml:space="preserve">TECHNICKÁ ZPRÁVA </w:t>
      </w:r>
    </w:p>
    <w:p w:rsidR="00BC134C" w:rsidRPr="009F7C70" w:rsidRDefault="00BC134C" w:rsidP="00BC134C">
      <w:pPr>
        <w:pStyle w:val="Nzev"/>
        <w:pBdr>
          <w:bottom w:val="double" w:sz="6" w:space="1" w:color="auto"/>
        </w:pBdr>
        <w:ind w:firstLine="0"/>
        <w:jc w:val="center"/>
        <w:rPr>
          <w:b/>
        </w:rPr>
      </w:pPr>
    </w:p>
    <w:p w:rsidR="00BC134C" w:rsidRPr="009F7C70" w:rsidRDefault="00415205" w:rsidP="00763750">
      <w:pPr>
        <w:pStyle w:val="Nzev"/>
        <w:pBdr>
          <w:bottom w:val="double" w:sz="6" w:space="1" w:color="auto"/>
        </w:pBdr>
        <w:ind w:firstLine="0"/>
        <w:rPr>
          <w:b/>
        </w:rPr>
      </w:pPr>
      <w:r>
        <w:rPr>
          <w:b/>
        </w:rPr>
        <w:t>V</w:t>
      </w:r>
      <w:r w:rsidR="00763750">
        <w:rPr>
          <w:b/>
        </w:rPr>
        <w:t> </w:t>
      </w:r>
      <w:r>
        <w:rPr>
          <w:b/>
        </w:rPr>
        <w:t xml:space="preserve">YTÁPĚNÍ  </w:t>
      </w:r>
    </w:p>
    <w:p w:rsidR="00BC134C" w:rsidRPr="009F7C70" w:rsidRDefault="00BC134C" w:rsidP="00BC134C">
      <w:pPr>
        <w:pStyle w:val="Nzev"/>
        <w:pBdr>
          <w:bottom w:val="double" w:sz="6" w:space="1" w:color="auto"/>
        </w:pBdr>
        <w:ind w:firstLine="0"/>
        <w:jc w:val="center"/>
        <w:rPr>
          <w:b/>
        </w:rPr>
      </w:pPr>
    </w:p>
    <w:p w:rsidR="00BC134C" w:rsidRPr="009F7C70" w:rsidRDefault="00BC134C" w:rsidP="00BC134C">
      <w:pPr>
        <w:pStyle w:val="Nzev"/>
        <w:pBdr>
          <w:bottom w:val="double" w:sz="6" w:space="1" w:color="auto"/>
        </w:pBdr>
        <w:rPr>
          <w:b/>
        </w:rPr>
      </w:pPr>
    </w:p>
    <w:p w:rsidR="00BC134C" w:rsidRPr="009F7C70" w:rsidRDefault="00BC134C" w:rsidP="00BC134C">
      <w:pPr>
        <w:pStyle w:val="Nzev"/>
        <w:pBdr>
          <w:bottom w:val="double" w:sz="6" w:space="1" w:color="auto"/>
        </w:pBdr>
        <w:rPr>
          <w:b/>
        </w:rPr>
      </w:pPr>
    </w:p>
    <w:p w:rsidR="00BC134C" w:rsidRPr="009F7C70" w:rsidRDefault="00BC134C" w:rsidP="00BC134C">
      <w:pPr>
        <w:pStyle w:val="Nzev"/>
        <w:rPr>
          <w:b/>
        </w:rPr>
      </w:pPr>
    </w:p>
    <w:p w:rsidR="00BC134C" w:rsidRDefault="00BC134C" w:rsidP="00BC134C">
      <w:pPr>
        <w:pStyle w:val="Nzev"/>
      </w:pPr>
      <w:r>
        <w:tab/>
      </w:r>
      <w:r>
        <w:tab/>
        <w:t>Objekt:</w:t>
      </w:r>
      <w:r>
        <w:tab/>
      </w:r>
      <w:r w:rsidR="00C10CD3">
        <w:t>Rekonstrukce místností 128a, 128 b, 128 a částečně 129</w:t>
      </w:r>
    </w:p>
    <w:p w:rsidR="00BC134C" w:rsidRPr="009F7C70" w:rsidRDefault="00BC134C" w:rsidP="00763750">
      <w:pPr>
        <w:pStyle w:val="Nzev"/>
      </w:pPr>
    </w:p>
    <w:p w:rsidR="00BC134C" w:rsidRDefault="00BC134C" w:rsidP="00BC134C">
      <w:pPr>
        <w:pStyle w:val="Nzev"/>
      </w:pPr>
      <w:r w:rsidRPr="009F7C70">
        <w:tab/>
      </w:r>
      <w:r w:rsidRPr="009F7C70">
        <w:tab/>
      </w:r>
    </w:p>
    <w:p w:rsidR="00BC134C" w:rsidRPr="009F7C70" w:rsidRDefault="00BC134C" w:rsidP="00BC134C">
      <w:pPr>
        <w:pStyle w:val="Nzev"/>
      </w:pPr>
      <w:r w:rsidRPr="009F7C70">
        <w:tab/>
      </w:r>
      <w:r w:rsidRPr="009F7C70">
        <w:tab/>
      </w:r>
      <w:r w:rsidR="009408E9">
        <w:t xml:space="preserve">Investor:     </w:t>
      </w:r>
      <w:r w:rsidR="00C10CD3">
        <w:t>Fylozofická fakulta UK , nám.Jana Palacha 2,Praha 1</w:t>
      </w:r>
    </w:p>
    <w:p w:rsidR="00BC134C" w:rsidRPr="009F7C70" w:rsidRDefault="00BC134C" w:rsidP="00BC134C">
      <w:pPr>
        <w:pBdr>
          <w:bottom w:val="double" w:sz="6" w:space="1" w:color="auto"/>
        </w:pBdr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</w:pPr>
    </w:p>
    <w:p w:rsidR="00BC134C" w:rsidRPr="009F7C70" w:rsidRDefault="00BC134C" w:rsidP="00BC134C">
      <w:pPr>
        <w:pStyle w:val="Nzev"/>
        <w:ind w:left="567" w:firstLine="567"/>
      </w:pPr>
    </w:p>
    <w:p w:rsidR="00BC134C" w:rsidRPr="009F7C70" w:rsidRDefault="00927C77" w:rsidP="00BC134C">
      <w:pPr>
        <w:pStyle w:val="Nzev"/>
        <w:ind w:left="567" w:firstLine="567"/>
      </w:pPr>
      <w:r>
        <w:tab/>
      </w:r>
      <w:r w:rsidR="00BC134C" w:rsidRPr="009F7C70">
        <w:t xml:space="preserve">Kreslil/Vypracoval: </w:t>
      </w:r>
      <w:r w:rsidR="00BC134C" w:rsidRPr="009F7C70">
        <w:tab/>
      </w:r>
      <w:r w:rsidR="00BC134C" w:rsidRPr="009F7C70">
        <w:tab/>
      </w:r>
      <w:r w:rsidR="00BC134C" w:rsidRPr="009F7C70">
        <w:tab/>
      </w:r>
      <w:r w:rsidR="00BC134C" w:rsidRPr="009F7C70">
        <w:tab/>
      </w:r>
      <w:r w:rsidR="00BC134C" w:rsidRPr="009F7C70">
        <w:tab/>
      </w:r>
      <w:r w:rsidR="00C10CD3">
        <w:t>ing.J.Kába</w:t>
      </w:r>
    </w:p>
    <w:p w:rsidR="00BC134C" w:rsidRDefault="00927C77" w:rsidP="00BC134C">
      <w:pPr>
        <w:pStyle w:val="Nzev"/>
        <w:ind w:firstLine="0"/>
      </w:pPr>
      <w:r>
        <w:tab/>
      </w:r>
      <w:r>
        <w:tab/>
      </w:r>
      <w:r w:rsidR="00BC134C" w:rsidRPr="009F7C70">
        <w:t>Datum:</w:t>
      </w:r>
      <w:r w:rsidR="00BC134C" w:rsidRPr="009F7C70">
        <w:tab/>
      </w:r>
      <w:r w:rsidR="00BC134C" w:rsidRPr="009F7C70">
        <w:tab/>
      </w:r>
      <w:r w:rsidR="00BC134C" w:rsidRPr="009F7C70">
        <w:tab/>
      </w:r>
      <w:r w:rsidR="00BC134C" w:rsidRPr="009F7C70">
        <w:tab/>
      </w:r>
      <w:r w:rsidR="00BC134C" w:rsidRPr="009F7C70">
        <w:tab/>
      </w:r>
      <w:r w:rsidR="00BC134C" w:rsidRPr="009F7C70">
        <w:tab/>
      </w:r>
      <w:r w:rsidR="00C10CD3">
        <w:t>03/2021</w:t>
      </w:r>
    </w:p>
    <w:bookmarkEnd w:id="0"/>
    <w:p w:rsidR="004C3179" w:rsidRDefault="004C3179" w:rsidP="007D2979">
      <w:pPr>
        <w:ind w:firstLine="0"/>
      </w:pPr>
    </w:p>
    <w:p w:rsidR="00021C99" w:rsidRPr="00CB653F" w:rsidRDefault="004C3179" w:rsidP="00606656">
      <w:pPr>
        <w:pStyle w:val="Nadpis1"/>
      </w:pPr>
      <w:bookmarkStart w:id="1" w:name="_Toc294172212"/>
      <w:bookmarkStart w:id="2" w:name="_Toc329683569"/>
      <w:bookmarkStart w:id="3" w:name="_Toc400218802"/>
      <w:bookmarkStart w:id="4" w:name="_Toc400486010"/>
      <w:bookmarkStart w:id="5" w:name="_Toc523079703"/>
      <w:r w:rsidRPr="00CB653F">
        <w:lastRenderedPageBreak/>
        <w:t>Parametry objektu</w:t>
      </w:r>
      <w:bookmarkStart w:id="6" w:name="_Toc401081561"/>
      <w:bookmarkStart w:id="7" w:name="_Toc523079698"/>
      <w:bookmarkEnd w:id="1"/>
      <w:bookmarkEnd w:id="2"/>
      <w:bookmarkEnd w:id="3"/>
      <w:bookmarkEnd w:id="4"/>
      <w:bookmarkEnd w:id="5"/>
      <w:r w:rsidR="00021C99">
        <w:t>ZÁKLADNÍ</w:t>
      </w:r>
      <w:r w:rsidR="00021C99" w:rsidRPr="00CB653F">
        <w:t xml:space="preserve"> údaje</w:t>
      </w:r>
      <w:bookmarkEnd w:id="6"/>
      <w:bookmarkEnd w:id="7"/>
    </w:p>
    <w:p w:rsidR="00021C99" w:rsidRPr="00852DBB" w:rsidRDefault="00021C99" w:rsidP="00606656">
      <w:pPr>
        <w:spacing w:line="240" w:lineRule="auto"/>
      </w:pPr>
      <w:bookmarkStart w:id="8" w:name="_Toc401081562"/>
      <w:r w:rsidRPr="00852DBB">
        <w:t xml:space="preserve">Předmětem technické zprávy je popis řešení </w:t>
      </w:r>
      <w:r w:rsidR="00791EF9">
        <w:t xml:space="preserve">vytápění </w:t>
      </w:r>
      <w:r w:rsidR="00C10CD3">
        <w:t>v místnostech které budou rekonstruovány . Místnosti jsou součástí budovy FF UK .</w:t>
      </w:r>
    </w:p>
    <w:p w:rsidR="00021C99" w:rsidRPr="0067358E" w:rsidRDefault="00021C99" w:rsidP="00606656">
      <w:pPr>
        <w:pStyle w:val="Nadpis2"/>
      </w:pPr>
      <w:bookmarkStart w:id="9" w:name="_Toc523079699"/>
      <w:r w:rsidRPr="0067358E">
        <w:t>Ú</w:t>
      </w:r>
      <w:r>
        <w:t>daje o stavbě</w:t>
      </w:r>
      <w:bookmarkEnd w:id="8"/>
      <w:bookmarkEnd w:id="9"/>
    </w:p>
    <w:p w:rsidR="00021C99" w:rsidRPr="0067358E" w:rsidRDefault="00C10CD3" w:rsidP="00606656">
      <w:pPr>
        <w:numPr>
          <w:ilvl w:val="0"/>
          <w:numId w:val="18"/>
        </w:numPr>
        <w:tabs>
          <w:tab w:val="left" w:pos="1418"/>
          <w:tab w:val="left" w:pos="3969"/>
        </w:tabs>
        <w:spacing w:line="240" w:lineRule="auto"/>
      </w:pPr>
      <w:r>
        <w:t>Název                          Rekonstrukce místností 128a, 128b, 128 a částečně 129</w:t>
      </w:r>
    </w:p>
    <w:p w:rsidR="00021C99" w:rsidRPr="00992DAF" w:rsidRDefault="0047154B" w:rsidP="00606656">
      <w:pPr>
        <w:numPr>
          <w:ilvl w:val="0"/>
          <w:numId w:val="18"/>
        </w:numPr>
        <w:tabs>
          <w:tab w:val="left" w:pos="1418"/>
          <w:tab w:val="left" w:pos="3969"/>
        </w:tabs>
        <w:spacing w:line="240" w:lineRule="auto"/>
      </w:pPr>
      <w:r>
        <w:t xml:space="preserve">Místo stavby           </w:t>
      </w:r>
      <w:r w:rsidR="00C10CD3">
        <w:t xml:space="preserve">    FF UK, nám.</w:t>
      </w:r>
      <w:r w:rsidR="00927C77">
        <w:t xml:space="preserve"> </w:t>
      </w:r>
      <w:r w:rsidR="00C10CD3">
        <w:t>Jana</w:t>
      </w:r>
      <w:r w:rsidR="00927C77">
        <w:t xml:space="preserve"> P</w:t>
      </w:r>
      <w:r w:rsidR="00C10CD3">
        <w:t>alacha  2. Praha 1</w:t>
      </w:r>
    </w:p>
    <w:p w:rsidR="009408E9" w:rsidRPr="009408E9" w:rsidRDefault="00021C99" w:rsidP="00606656">
      <w:pPr>
        <w:pStyle w:val="Nadpis2"/>
        <w:rPr>
          <w:b w:val="0"/>
        </w:rPr>
      </w:pPr>
      <w:bookmarkStart w:id="10" w:name="_Toc401081563"/>
      <w:bookmarkStart w:id="11" w:name="_Toc523079700"/>
      <w:r w:rsidRPr="00CB653F">
        <w:t>Údaje o stavebníkovi</w:t>
      </w:r>
      <w:bookmarkStart w:id="12" w:name="_Toc401081564"/>
      <w:bookmarkEnd w:id="10"/>
      <w:bookmarkEnd w:id="11"/>
    </w:p>
    <w:p w:rsidR="00021C99" w:rsidRPr="00C10CD3" w:rsidRDefault="00C10CD3" w:rsidP="00C10CD3">
      <w:pPr>
        <w:pStyle w:val="Nadpis2"/>
        <w:numPr>
          <w:ilvl w:val="0"/>
          <w:numId w:val="0"/>
        </w:numPr>
        <w:ind w:left="709"/>
        <w:rPr>
          <w:b w:val="0"/>
        </w:rPr>
      </w:pPr>
      <w:r w:rsidRPr="00C10CD3">
        <w:rPr>
          <w:b w:val="0"/>
        </w:rPr>
        <w:t>FF UK, nám.</w:t>
      </w:r>
      <w:r w:rsidR="00927C77">
        <w:rPr>
          <w:b w:val="0"/>
        </w:rPr>
        <w:t xml:space="preserve"> </w:t>
      </w:r>
      <w:r w:rsidRPr="00C10CD3">
        <w:rPr>
          <w:b w:val="0"/>
        </w:rPr>
        <w:t>Jana</w:t>
      </w:r>
      <w:r w:rsidR="00927C77">
        <w:rPr>
          <w:b w:val="0"/>
        </w:rPr>
        <w:t xml:space="preserve"> P</w:t>
      </w:r>
      <w:r w:rsidRPr="00C10CD3">
        <w:rPr>
          <w:b w:val="0"/>
        </w:rPr>
        <w:t>alacha  2. Praha 1</w:t>
      </w:r>
    </w:p>
    <w:p w:rsidR="00021C99" w:rsidRPr="00CB653F" w:rsidRDefault="00021C99" w:rsidP="00606656">
      <w:pPr>
        <w:pStyle w:val="Nadpis2"/>
      </w:pPr>
      <w:bookmarkStart w:id="13" w:name="_Toc523079701"/>
      <w:r w:rsidRPr="00CB653F">
        <w:t>Údaje o zpracovateli projektové dokumentace</w:t>
      </w:r>
      <w:bookmarkEnd w:id="12"/>
      <w:bookmarkEnd w:id="13"/>
    </w:p>
    <w:p w:rsidR="00021C99" w:rsidRPr="0067358E" w:rsidRDefault="00021C99" w:rsidP="00606656">
      <w:pPr>
        <w:numPr>
          <w:ilvl w:val="0"/>
          <w:numId w:val="19"/>
        </w:numPr>
        <w:tabs>
          <w:tab w:val="left" w:pos="1418"/>
          <w:tab w:val="left" w:pos="3969"/>
        </w:tabs>
        <w:spacing w:line="240" w:lineRule="auto"/>
      </w:pPr>
      <w:r>
        <w:t>Zodpovědný projektant</w:t>
      </w:r>
      <w:r>
        <w:tab/>
      </w:r>
    </w:p>
    <w:p w:rsidR="00021C99" w:rsidRDefault="00021C99" w:rsidP="00606656">
      <w:pPr>
        <w:numPr>
          <w:ilvl w:val="0"/>
          <w:numId w:val="19"/>
        </w:numPr>
        <w:tabs>
          <w:tab w:val="left" w:pos="1418"/>
          <w:tab w:val="left" w:pos="3969"/>
        </w:tabs>
        <w:spacing w:line="240" w:lineRule="auto"/>
      </w:pPr>
      <w:r>
        <w:t>Vypracoval</w:t>
      </w:r>
      <w:r>
        <w:tab/>
      </w:r>
      <w:r w:rsidR="00C10CD3">
        <w:t>Ing.</w:t>
      </w:r>
      <w:r w:rsidR="00927C77">
        <w:t xml:space="preserve"> </w:t>
      </w:r>
      <w:r w:rsidR="00C10CD3">
        <w:t>Jindřich Kába</w:t>
      </w:r>
    </w:p>
    <w:p w:rsidR="00021C99" w:rsidRPr="00CB653F" w:rsidRDefault="00021C99" w:rsidP="00606656">
      <w:pPr>
        <w:pStyle w:val="Nadpis2"/>
      </w:pPr>
      <w:bookmarkStart w:id="14" w:name="_Toc318279720"/>
      <w:bookmarkStart w:id="15" w:name="_Toc364768218"/>
      <w:bookmarkStart w:id="16" w:name="_Toc400218801"/>
      <w:bookmarkStart w:id="17" w:name="_Toc400486009"/>
      <w:bookmarkStart w:id="18" w:name="_Toc523079702"/>
      <w:r w:rsidRPr="00CB653F">
        <w:t>Podklady a předpisy</w:t>
      </w:r>
      <w:bookmarkEnd w:id="14"/>
      <w:bookmarkEnd w:id="15"/>
      <w:bookmarkEnd w:id="16"/>
      <w:bookmarkEnd w:id="17"/>
      <w:bookmarkEnd w:id="18"/>
    </w:p>
    <w:p w:rsidR="00021C99" w:rsidRDefault="00021C99" w:rsidP="00606656">
      <w:pPr>
        <w:numPr>
          <w:ilvl w:val="0"/>
          <w:numId w:val="28"/>
        </w:numPr>
        <w:tabs>
          <w:tab w:val="left" w:pos="1418"/>
          <w:tab w:val="left" w:pos="3969"/>
        </w:tabs>
        <w:spacing w:line="240" w:lineRule="auto"/>
      </w:pPr>
      <w:r w:rsidRPr="00223FB6">
        <w:t>Stavební dokumentace objektu</w:t>
      </w:r>
    </w:p>
    <w:p w:rsidR="001229D8" w:rsidRDefault="001229D8" w:rsidP="00606656">
      <w:pPr>
        <w:numPr>
          <w:ilvl w:val="0"/>
          <w:numId w:val="28"/>
        </w:numPr>
        <w:tabs>
          <w:tab w:val="left" w:pos="1418"/>
          <w:tab w:val="left" w:pos="3969"/>
        </w:tabs>
        <w:spacing w:line="240" w:lineRule="auto"/>
      </w:pPr>
      <w:r>
        <w:t>Výchozí podklady :</w:t>
      </w:r>
    </w:p>
    <w:p w:rsidR="007A05DD" w:rsidRDefault="00C10CD3" w:rsidP="00606656">
      <w:pPr>
        <w:pStyle w:val="Odstavecseseznamem"/>
        <w:numPr>
          <w:ilvl w:val="0"/>
          <w:numId w:val="36"/>
        </w:numPr>
        <w:tabs>
          <w:tab w:val="left" w:pos="1418"/>
          <w:tab w:val="left" w:pos="3969"/>
        </w:tabs>
        <w:spacing w:line="240" w:lineRule="auto"/>
      </w:pPr>
      <w:r>
        <w:t>Stávající umístění a velikost otopných těles</w:t>
      </w:r>
    </w:p>
    <w:p w:rsidR="009408E9" w:rsidRDefault="0046630E" w:rsidP="009408E9">
      <w:pPr>
        <w:tabs>
          <w:tab w:val="left" w:pos="1418"/>
          <w:tab w:val="left" w:pos="3969"/>
        </w:tabs>
        <w:spacing w:line="240" w:lineRule="auto"/>
        <w:ind w:firstLine="0"/>
      </w:pPr>
      <w:r>
        <w:t>T</w:t>
      </w:r>
      <w:r w:rsidR="001229D8">
        <w:t xml:space="preserve">opný systém – teplovodní </w:t>
      </w:r>
      <w:r w:rsidR="0047154B">
        <w:t xml:space="preserve">radiátory dt = </w:t>
      </w:r>
      <w:r w:rsidR="00C10CD3">
        <w:t>80/60</w:t>
      </w:r>
      <w:r w:rsidR="0047154B">
        <w:t xml:space="preserve">°C </w:t>
      </w:r>
    </w:p>
    <w:p w:rsidR="009408E9" w:rsidRDefault="009408E9" w:rsidP="009408E9">
      <w:pPr>
        <w:tabs>
          <w:tab w:val="left" w:pos="1418"/>
          <w:tab w:val="left" w:pos="3969"/>
        </w:tabs>
        <w:spacing w:line="240" w:lineRule="auto"/>
        <w:ind w:firstLine="0"/>
      </w:pPr>
    </w:p>
    <w:p w:rsidR="00021C99" w:rsidRPr="009408E9" w:rsidRDefault="00021C99" w:rsidP="009408E9">
      <w:pPr>
        <w:tabs>
          <w:tab w:val="left" w:pos="1418"/>
          <w:tab w:val="left" w:pos="3969"/>
        </w:tabs>
        <w:spacing w:line="240" w:lineRule="auto"/>
        <w:ind w:firstLine="0"/>
        <w:rPr>
          <w:u w:val="single"/>
        </w:rPr>
      </w:pPr>
      <w:r w:rsidRPr="009408E9">
        <w:rPr>
          <w:u w:val="single"/>
        </w:rPr>
        <w:t>Příslušné předpisy a normy ČSN</w:t>
      </w:r>
      <w:r w:rsidR="009408E9" w:rsidRPr="009408E9">
        <w:rPr>
          <w:u w:val="single"/>
        </w:rPr>
        <w:t>:</w:t>
      </w:r>
    </w:p>
    <w:p w:rsidR="00021C99" w:rsidRPr="009A36F2" w:rsidRDefault="00021C99" w:rsidP="00606656">
      <w:pPr>
        <w:pStyle w:val="Odstavecseseznamem"/>
        <w:widowControl w:val="0"/>
        <w:numPr>
          <w:ilvl w:val="0"/>
          <w:numId w:val="26"/>
        </w:numPr>
        <w:spacing w:line="240" w:lineRule="auto"/>
        <w:rPr>
          <w:b/>
        </w:rPr>
      </w:pPr>
      <w:r w:rsidRPr="009A36F2">
        <w:t>ČSN 73 0540-1-4 - Tepelná ochrana budov</w:t>
      </w:r>
    </w:p>
    <w:p w:rsidR="00021C99" w:rsidRPr="009A36F2" w:rsidRDefault="00021C99" w:rsidP="00606656">
      <w:pPr>
        <w:pStyle w:val="Odstavecseseznamem"/>
        <w:widowControl w:val="0"/>
        <w:numPr>
          <w:ilvl w:val="0"/>
          <w:numId w:val="26"/>
        </w:numPr>
        <w:spacing w:line="240" w:lineRule="auto"/>
        <w:rPr>
          <w:b/>
        </w:rPr>
      </w:pPr>
      <w:r w:rsidRPr="009A36F2">
        <w:t>ČSN 730872 – Ochrana staveb proti šíření požáru vzduchotechnickým zařízením</w:t>
      </w:r>
    </w:p>
    <w:p w:rsidR="00021C99" w:rsidRPr="009A36F2" w:rsidRDefault="00021C99" w:rsidP="00606656">
      <w:pPr>
        <w:pStyle w:val="Odstavecseseznamem"/>
        <w:widowControl w:val="0"/>
        <w:numPr>
          <w:ilvl w:val="0"/>
          <w:numId w:val="26"/>
        </w:numPr>
        <w:spacing w:line="240" w:lineRule="auto"/>
        <w:rPr>
          <w:b/>
        </w:rPr>
      </w:pPr>
      <w:r w:rsidRPr="009A36F2">
        <w:t>ČSN EN 15251 – Vstupní parametry vnitřního prostředí pro návrh a posouzení ENB s ohledem na kvalitu vnitřního vzduchu, tep. Prostředí, osvětlení a akustiky (2011)</w:t>
      </w:r>
    </w:p>
    <w:p w:rsidR="00021C99" w:rsidRPr="009A36F2" w:rsidRDefault="00021C99" w:rsidP="00606656">
      <w:pPr>
        <w:pStyle w:val="Odstavecseseznamem"/>
        <w:widowControl w:val="0"/>
        <w:numPr>
          <w:ilvl w:val="0"/>
          <w:numId w:val="26"/>
        </w:numPr>
        <w:spacing w:line="240" w:lineRule="auto"/>
        <w:rPr>
          <w:b/>
        </w:rPr>
      </w:pPr>
      <w:r w:rsidRPr="009A36F2">
        <w:t>ČSN EN 12354-5 - Stavební akustika - Výpočet akustických vlastností budov z vlastností stavebních prvků - Část 5: Hladiny zvuku technických zařízení budov</w:t>
      </w:r>
    </w:p>
    <w:p w:rsidR="00021C99" w:rsidRPr="0045096A" w:rsidRDefault="00021C99" w:rsidP="00606656">
      <w:pPr>
        <w:pStyle w:val="Odstavecseseznamem"/>
        <w:widowControl w:val="0"/>
        <w:numPr>
          <w:ilvl w:val="0"/>
          <w:numId w:val="26"/>
        </w:numPr>
        <w:spacing w:line="240" w:lineRule="auto"/>
        <w:rPr>
          <w:rFonts w:cs="Tahoma"/>
          <w:b/>
        </w:rPr>
      </w:pPr>
      <w:r w:rsidRPr="009A36F2">
        <w:t xml:space="preserve">ČSN 73 0532 - Akustika - Ochrana proti hluku v budovách a posuzování </w:t>
      </w:r>
      <w:r w:rsidRPr="0045096A">
        <w:rPr>
          <w:rFonts w:cs="Tahoma"/>
        </w:rPr>
        <w:t>akustických vlastností stavebních výrobků – Požadavky</w:t>
      </w:r>
    </w:p>
    <w:p w:rsidR="00021C99" w:rsidRPr="0045096A" w:rsidRDefault="00791EF9" w:rsidP="00606656">
      <w:pPr>
        <w:pStyle w:val="Odstavecseseznamem"/>
        <w:widowControl w:val="0"/>
        <w:numPr>
          <w:ilvl w:val="0"/>
          <w:numId w:val="26"/>
        </w:numPr>
        <w:spacing w:line="240" w:lineRule="auto"/>
        <w:rPr>
          <w:rFonts w:cs="Tahoma"/>
          <w:b/>
        </w:rPr>
      </w:pPr>
      <w:r w:rsidRPr="0045096A">
        <w:rPr>
          <w:rFonts w:cs="Tahoma"/>
        </w:rPr>
        <w:t xml:space="preserve">ČSN </w:t>
      </w:r>
      <w:r w:rsidR="00021C99" w:rsidRPr="0045096A">
        <w:rPr>
          <w:rFonts w:cs="Tahoma"/>
        </w:rPr>
        <w:t>73 0548 - Výpočet tepelné zátěže klimatizovaných prostorů</w:t>
      </w:r>
    </w:p>
    <w:p w:rsidR="00791EF9" w:rsidRPr="0045096A" w:rsidRDefault="00791EF9" w:rsidP="00606656">
      <w:pPr>
        <w:pStyle w:val="Zkladntext"/>
        <w:numPr>
          <w:ilvl w:val="0"/>
          <w:numId w:val="26"/>
        </w:numPr>
        <w:spacing w:line="240" w:lineRule="auto"/>
        <w:rPr>
          <w:rFonts w:ascii="Tahoma" w:hAnsi="Tahoma" w:cs="Tahoma"/>
          <w:sz w:val="22"/>
          <w:szCs w:val="22"/>
        </w:rPr>
      </w:pPr>
      <w:r w:rsidRPr="0045096A">
        <w:rPr>
          <w:rFonts w:ascii="Tahoma" w:hAnsi="Tahoma" w:cs="Tahoma"/>
          <w:sz w:val="22"/>
          <w:szCs w:val="22"/>
        </w:rPr>
        <w:t>ČSN 06 0210 – výpočet tepelných ztrát budov při ústředním vytápění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ČSN EN 12831 : 2005-03 Výpočet tepelné soustavy v budovách – Výpočet tepelného výkonu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 xml:space="preserve">ČSN EN 12828 : 2005-03  Navrhování teplovodních otopných soustav 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ČSN EN 15217 : 2008-02 Energetická náročnost budovy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ČSN EN ISO 10077 : 1- 2007:05 Tepelné chování oken, dveří a okenic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 xml:space="preserve">ČSN 06 0830 </w:t>
      </w:r>
      <w:r w:rsidRPr="0045096A">
        <w:rPr>
          <w:rFonts w:cs="Tahoma"/>
        </w:rPr>
        <w:tab/>
        <w:t>Zabezpečovací zařízení pro ÚV a ohřívání užitkové vody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 xml:space="preserve">ČSN 06 0310 </w:t>
      </w:r>
      <w:r w:rsidRPr="0045096A">
        <w:rPr>
          <w:rFonts w:cs="Tahoma"/>
        </w:rPr>
        <w:tab/>
        <w:t>Ústřední vytápění –projektování a montáž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ČSN 06 0320</w:t>
      </w:r>
      <w:r w:rsidRPr="0045096A">
        <w:rPr>
          <w:rFonts w:cs="Tahoma"/>
        </w:rPr>
        <w:tab/>
        <w:t>Ohřívání užitkové vody – Navrhování a projektování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ČSN 73 0872</w:t>
      </w:r>
      <w:r w:rsidRPr="0045096A">
        <w:rPr>
          <w:rFonts w:cs="Tahoma"/>
        </w:rPr>
        <w:tab/>
        <w:t>Ochrana budov proti šíření požáru vzduchotechnickým zařízením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 xml:space="preserve">Nař.vlády č.148/2006 Sb. </w:t>
      </w:r>
      <w:r w:rsidRPr="0045096A">
        <w:rPr>
          <w:rFonts w:cs="Tahoma"/>
        </w:rPr>
        <w:tab/>
        <w:t>O ochraně zdraví před nepříznivými účinky hluku a vibrací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 xml:space="preserve">ČSN 33 2000-7-701:    Elektrotechnické předpisy. Elektrická zařízení </w:t>
      </w:r>
    </w:p>
    <w:p w:rsidR="00791EF9" w:rsidRPr="00545E84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Část 7:Zařízení jednoúčelová a ve zvláštních objektech Oddíl 70: prostory s vanou nebo sprchou a umývací prostory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  <w:color w:val="000000"/>
          <w:kern w:val="36"/>
          <w:lang w:eastAsia="cs-CZ"/>
        </w:rPr>
        <w:lastRenderedPageBreak/>
        <w:t>Stavební zákon 2018 - aktuální úplné znění (zákon č. 183/2006 Sb., o územním plánování a stavebním řízení)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 xml:space="preserve">ČSN EN ISO 6946 – korekce součinitele prostupu tepla v případech netěsnosti v izolacích a mechanických kotev  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 xml:space="preserve">                                  procházejících izolační vrstvou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ČSN 06 0830 – zabezpečení zařízení pro ústřední vytápění a ohřev TUV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ČSN 06 0310 – ústřední vytápění – projektování a montáž</w:t>
      </w:r>
    </w:p>
    <w:p w:rsidR="00791EF9" w:rsidRPr="0045096A" w:rsidRDefault="00791EF9" w:rsidP="00606656">
      <w:pPr>
        <w:pStyle w:val="Odstavecseseznamem"/>
        <w:numPr>
          <w:ilvl w:val="0"/>
          <w:numId w:val="26"/>
        </w:numPr>
        <w:spacing w:line="240" w:lineRule="auto"/>
        <w:rPr>
          <w:rFonts w:cs="Tahoma"/>
        </w:rPr>
      </w:pPr>
      <w:r w:rsidRPr="0045096A">
        <w:rPr>
          <w:rFonts w:cs="Tahoma"/>
        </w:rPr>
        <w:t>Podklady pro zpracování projektové dokumentace – stavební projektová dokumentace dodaná investorem</w:t>
      </w:r>
    </w:p>
    <w:p w:rsidR="00791EF9" w:rsidRPr="009A36F2" w:rsidRDefault="00791EF9" w:rsidP="00606656">
      <w:pPr>
        <w:pStyle w:val="Odstavecseseznamem"/>
        <w:widowControl w:val="0"/>
        <w:spacing w:line="240" w:lineRule="auto"/>
        <w:ind w:left="1287" w:firstLine="0"/>
        <w:rPr>
          <w:color w:val="000000"/>
        </w:rPr>
      </w:pPr>
    </w:p>
    <w:p w:rsidR="0045096A" w:rsidRDefault="001229D8" w:rsidP="00606656">
      <w:pPr>
        <w:pStyle w:val="Nadpis1"/>
      </w:pPr>
      <w:r>
        <w:t>TEPELNÁ  BILANCE</w:t>
      </w:r>
    </w:p>
    <w:p w:rsidR="001229D8" w:rsidRPr="001229D8" w:rsidRDefault="005350F4" w:rsidP="00606656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  <w:lang w:val="cs-CZ"/>
        </w:rPr>
        <w:t>Výpočet tepelných ztrát– viz příloha.</w:t>
      </w:r>
    </w:p>
    <w:p w:rsidR="001229D8" w:rsidRPr="00763750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  <w:lang w:val="cs-CZ"/>
        </w:rPr>
      </w:pPr>
      <w:r w:rsidRPr="001229D8">
        <w:rPr>
          <w:rFonts w:ascii="Tahoma" w:hAnsi="Tahoma" w:cs="Tahoma"/>
          <w:sz w:val="22"/>
          <w:szCs w:val="22"/>
        </w:rPr>
        <w:t>- oblastní venkovní výpočtovou teplotu  te= - 1</w:t>
      </w:r>
      <w:r w:rsidR="008C0AFC">
        <w:rPr>
          <w:rFonts w:ascii="Tahoma" w:hAnsi="Tahoma" w:cs="Tahoma"/>
          <w:sz w:val="22"/>
          <w:szCs w:val="22"/>
          <w:lang w:val="cs-CZ"/>
        </w:rPr>
        <w:t>2</w:t>
      </w:r>
      <w:r w:rsidRPr="001229D8">
        <w:rPr>
          <w:rFonts w:ascii="Tahoma" w:hAnsi="Tahoma" w:cs="Tahoma"/>
          <w:sz w:val="22"/>
          <w:szCs w:val="22"/>
        </w:rPr>
        <w:t xml:space="preserve">C </w:t>
      </w:r>
    </w:p>
    <w:p w:rsidR="001229D8" w:rsidRPr="001229D8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</w:rPr>
      </w:pPr>
      <w:r w:rsidRPr="001229D8">
        <w:rPr>
          <w:rFonts w:ascii="Tahoma" w:hAnsi="Tahoma" w:cs="Tahoma"/>
          <w:sz w:val="22"/>
          <w:szCs w:val="22"/>
        </w:rPr>
        <w:t>- charakteristi</w:t>
      </w:r>
      <w:r w:rsidR="008B2B54">
        <w:rPr>
          <w:rFonts w:ascii="Tahoma" w:hAnsi="Tahoma" w:cs="Tahoma"/>
          <w:sz w:val="22"/>
          <w:szCs w:val="22"/>
        </w:rPr>
        <w:t xml:space="preserve">cké číslo budovy B = 8 Pa 0,67 </w:t>
      </w:r>
      <w:r w:rsidRPr="001229D8">
        <w:rPr>
          <w:rFonts w:ascii="Tahoma" w:hAnsi="Tahoma" w:cs="Tahoma"/>
          <w:sz w:val="22"/>
          <w:szCs w:val="22"/>
        </w:rPr>
        <w:t>(krajinná oblast bez intenzivních  větru)</w:t>
      </w:r>
    </w:p>
    <w:p w:rsidR="001229D8" w:rsidRPr="001229D8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</w:rPr>
      </w:pPr>
      <w:r w:rsidRPr="001229D8">
        <w:rPr>
          <w:rFonts w:ascii="Tahoma" w:hAnsi="Tahoma" w:cs="Tahoma"/>
          <w:sz w:val="22"/>
          <w:szCs w:val="22"/>
        </w:rPr>
        <w:t xml:space="preserve">- pro vnitřní výpočtové teploty místností - dle výkresové části </w:t>
      </w:r>
      <w:r w:rsidR="00C10CD3">
        <w:rPr>
          <w:rFonts w:ascii="Tahoma" w:hAnsi="Tahoma" w:cs="Tahoma"/>
          <w:sz w:val="22"/>
          <w:szCs w:val="22"/>
          <w:lang w:val="cs-CZ"/>
        </w:rPr>
        <w:t>22</w:t>
      </w:r>
      <w:r w:rsidRPr="001229D8">
        <w:rPr>
          <w:rFonts w:ascii="Tahoma" w:hAnsi="Tahoma" w:cs="Tahoma"/>
          <w:sz w:val="22"/>
          <w:szCs w:val="22"/>
        </w:rPr>
        <w:t>°C</w:t>
      </w:r>
    </w:p>
    <w:p w:rsidR="001229D8" w:rsidRPr="001229D8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</w:rPr>
      </w:pPr>
      <w:r w:rsidRPr="001229D8">
        <w:rPr>
          <w:rFonts w:ascii="Tahoma" w:hAnsi="Tahoma" w:cs="Tahoma"/>
          <w:sz w:val="22"/>
          <w:szCs w:val="22"/>
        </w:rPr>
        <w:t>- pro tepelně technické charakteristiky stavebních konstrukcí - dle skladeb ve stavební  projektové dok.</w:t>
      </w:r>
    </w:p>
    <w:p w:rsidR="001229D8" w:rsidRPr="007446E7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  <w:lang w:val="cs-CZ"/>
        </w:rPr>
      </w:pPr>
      <w:r w:rsidRPr="001229D8">
        <w:rPr>
          <w:rFonts w:ascii="Tahoma" w:hAnsi="Tahoma" w:cs="Tahoma"/>
          <w:sz w:val="22"/>
          <w:szCs w:val="22"/>
        </w:rPr>
        <w:t xml:space="preserve">- počet topných dnů d = </w:t>
      </w:r>
      <w:r w:rsidR="0059611F">
        <w:rPr>
          <w:rFonts w:ascii="Tahoma" w:hAnsi="Tahoma" w:cs="Tahoma"/>
          <w:sz w:val="22"/>
          <w:szCs w:val="22"/>
          <w:lang w:val="cs-CZ"/>
        </w:rPr>
        <w:t>216</w:t>
      </w:r>
    </w:p>
    <w:p w:rsidR="001229D8" w:rsidRPr="001229D8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</w:rPr>
      </w:pPr>
      <w:r w:rsidRPr="001229D8">
        <w:rPr>
          <w:rFonts w:ascii="Tahoma" w:hAnsi="Tahoma" w:cs="Tahoma"/>
          <w:sz w:val="22"/>
          <w:szCs w:val="22"/>
        </w:rPr>
        <w:t xml:space="preserve">- průměrná venkovní teplota v top. období tes = </w:t>
      </w:r>
      <w:r w:rsidR="0059611F">
        <w:rPr>
          <w:rFonts w:ascii="Tahoma" w:hAnsi="Tahoma" w:cs="Tahoma"/>
          <w:sz w:val="22"/>
          <w:szCs w:val="22"/>
          <w:lang w:val="cs-CZ"/>
        </w:rPr>
        <w:t xml:space="preserve">4 </w:t>
      </w:r>
      <w:r w:rsidR="0047154B">
        <w:rPr>
          <w:rFonts w:ascii="Tahoma" w:hAnsi="Tahoma" w:cs="Tahoma"/>
          <w:sz w:val="22"/>
          <w:szCs w:val="22"/>
          <w:lang w:val="cs-CZ"/>
        </w:rPr>
        <w:t>°</w:t>
      </w:r>
      <w:r w:rsidRPr="001229D8">
        <w:rPr>
          <w:rFonts w:ascii="Tahoma" w:hAnsi="Tahoma" w:cs="Tahoma"/>
          <w:sz w:val="22"/>
          <w:szCs w:val="22"/>
        </w:rPr>
        <w:t xml:space="preserve"> C</w:t>
      </w:r>
    </w:p>
    <w:p w:rsidR="001229D8" w:rsidRPr="00020610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  <w:lang w:val="cs-CZ"/>
        </w:rPr>
      </w:pPr>
      <w:r w:rsidRPr="001229D8">
        <w:rPr>
          <w:rFonts w:ascii="Tahoma" w:hAnsi="Tahoma" w:cs="Tahoma"/>
          <w:sz w:val="22"/>
          <w:szCs w:val="22"/>
        </w:rPr>
        <w:t>- min. hygienická výměna vzduchu v obyt. místnostech 0,5 l/hod</w:t>
      </w:r>
    </w:p>
    <w:p w:rsidR="001229D8" w:rsidRPr="001229D8" w:rsidRDefault="001229D8" w:rsidP="00606656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  <w:r w:rsidRPr="001229D8">
        <w:rPr>
          <w:rFonts w:ascii="Tahoma" w:hAnsi="Tahoma" w:cs="Tahoma"/>
          <w:sz w:val="22"/>
          <w:szCs w:val="22"/>
        </w:rPr>
        <w:t>Tepelné ztráty byly stanoveny dle ČSN 060210 pro výše uvedenou výpočtovou teplotu a charakteristické číslo budovy v souladu se změnou č.4 ČSN 730540. Veškeré obvodové konstrukce splňují požadavky této normy a není překročena ani kriteriální tepelná charakteristika objektu dle ČSN 730540 a směrnice č.22/77 a 24/81 včetně prováděcích pokynů z r.1983 FMPE. Veškeré obvodové konstrukce splňují požadavky normy a není překročena ani kriteriální tepelná charakteristika dle ČSN 730540 – změna 4/92, tep.</w:t>
      </w:r>
      <w:r w:rsidR="00927C7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229D8">
        <w:rPr>
          <w:rFonts w:ascii="Tahoma" w:hAnsi="Tahoma" w:cs="Tahoma"/>
          <w:sz w:val="22"/>
          <w:szCs w:val="22"/>
        </w:rPr>
        <w:t>char.</w:t>
      </w:r>
      <w:r w:rsidR="00927C7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229D8">
        <w:rPr>
          <w:rFonts w:ascii="Tahoma" w:hAnsi="Tahoma" w:cs="Tahoma"/>
          <w:sz w:val="22"/>
          <w:szCs w:val="22"/>
        </w:rPr>
        <w:t>objektu, využití tep.zdroje a energet.</w:t>
      </w:r>
      <w:r w:rsidR="00927C7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229D8">
        <w:rPr>
          <w:rFonts w:ascii="Tahoma" w:hAnsi="Tahoma" w:cs="Tahoma"/>
          <w:sz w:val="22"/>
          <w:szCs w:val="22"/>
        </w:rPr>
        <w:t>nároky, směrnice č.22/77 a 24/81 včetně prováděcích pokynů z r. 1983 FMPE. Podle uvedených hodnot tato PD nepodléhá vyhl.</w:t>
      </w:r>
      <w:r w:rsidR="00927C77">
        <w:rPr>
          <w:rFonts w:ascii="Tahoma" w:hAnsi="Tahoma" w:cs="Tahoma"/>
          <w:sz w:val="22"/>
          <w:szCs w:val="22"/>
          <w:lang w:val="cs-CZ"/>
        </w:rPr>
        <w:t xml:space="preserve"> </w:t>
      </w:r>
      <w:r w:rsidRPr="001229D8">
        <w:rPr>
          <w:rFonts w:ascii="Tahoma" w:hAnsi="Tahoma" w:cs="Tahoma"/>
          <w:sz w:val="22"/>
          <w:szCs w:val="22"/>
        </w:rPr>
        <w:t>č. 92/87 § 2, odst.2, vyjádření SEI pro ČN.</w:t>
      </w:r>
    </w:p>
    <w:p w:rsidR="001229D8" w:rsidRPr="001229D8" w:rsidRDefault="001229D8" w:rsidP="00606656">
      <w:pPr>
        <w:pStyle w:val="Zkladntext"/>
        <w:spacing w:line="240" w:lineRule="auto"/>
        <w:rPr>
          <w:rFonts w:ascii="Tahoma" w:hAnsi="Tahoma" w:cs="Tahoma"/>
          <w:sz w:val="22"/>
          <w:szCs w:val="22"/>
        </w:rPr>
      </w:pPr>
    </w:p>
    <w:p w:rsidR="001229D8" w:rsidRPr="004F3D6E" w:rsidRDefault="001229D8" w:rsidP="00606656">
      <w:pPr>
        <w:pStyle w:val="Zkladntext"/>
        <w:spacing w:line="240" w:lineRule="auto"/>
        <w:ind w:firstLine="0"/>
        <w:rPr>
          <w:rFonts w:ascii="Tahoma" w:hAnsi="Tahoma" w:cs="Tahoma"/>
          <w:b/>
          <w:lang w:val="cs-CZ"/>
        </w:rPr>
      </w:pPr>
      <w:r w:rsidRPr="004F3D6E">
        <w:rPr>
          <w:rFonts w:ascii="Tahoma" w:hAnsi="Tahoma" w:cs="Tahoma"/>
          <w:b/>
        </w:rPr>
        <w:t xml:space="preserve">Tepelná ztráta </w:t>
      </w:r>
      <w:r w:rsidR="00C10CD3" w:rsidRPr="004F3D6E">
        <w:rPr>
          <w:rFonts w:ascii="Tahoma" w:hAnsi="Tahoma" w:cs="Tahoma"/>
          <w:b/>
          <w:lang w:val="cs-CZ"/>
        </w:rPr>
        <w:t>místnosti</w:t>
      </w:r>
      <w:r w:rsidRPr="004F3D6E">
        <w:rPr>
          <w:rFonts w:ascii="Tahoma" w:hAnsi="Tahoma" w:cs="Tahoma"/>
          <w:b/>
        </w:rPr>
        <w:t xml:space="preserve"> včetně větrání činí  </w:t>
      </w:r>
      <w:r w:rsidR="00C10CD3" w:rsidRPr="004F3D6E">
        <w:rPr>
          <w:rFonts w:ascii="Tahoma" w:hAnsi="Tahoma" w:cs="Tahoma"/>
          <w:b/>
          <w:lang w:val="cs-CZ"/>
        </w:rPr>
        <w:t>3,439</w:t>
      </w:r>
      <w:r w:rsidRPr="004F3D6E">
        <w:rPr>
          <w:rFonts w:ascii="Tahoma" w:hAnsi="Tahoma" w:cs="Tahoma"/>
          <w:b/>
        </w:rPr>
        <w:t xml:space="preserve"> kW.</w:t>
      </w:r>
    </w:p>
    <w:p w:rsidR="00FD2192" w:rsidRDefault="00FD2192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  <w:lang w:val="cs-CZ"/>
        </w:rPr>
      </w:pPr>
    </w:p>
    <w:p w:rsidR="001229D8" w:rsidRDefault="006752F7" w:rsidP="00606656">
      <w:pPr>
        <w:pStyle w:val="Zkladntext"/>
        <w:spacing w:line="240" w:lineRule="auto"/>
        <w:ind w:firstLine="0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V</w:t>
      </w:r>
      <w:r w:rsidRPr="001229D8">
        <w:rPr>
          <w:rFonts w:ascii="Tahoma" w:hAnsi="Tahoma" w:cs="Tahoma"/>
          <w:sz w:val="22"/>
          <w:szCs w:val="22"/>
        </w:rPr>
        <w:t>ýpočet je součástí technické zprávy.</w:t>
      </w:r>
    </w:p>
    <w:p w:rsidR="004C3179" w:rsidRPr="00CB653F" w:rsidRDefault="004C3179" w:rsidP="00606656">
      <w:pPr>
        <w:pStyle w:val="Nadpis1"/>
      </w:pPr>
      <w:bookmarkStart w:id="19" w:name="_Toc294172213"/>
      <w:bookmarkStart w:id="20" w:name="_Toc329683570"/>
      <w:bookmarkStart w:id="21" w:name="_Toc400218803"/>
      <w:bookmarkStart w:id="22" w:name="_Toc400486011"/>
      <w:bookmarkStart w:id="23" w:name="_Toc523079704"/>
      <w:r w:rsidRPr="00CB653F">
        <w:t>Popis instalovaného zařízení</w:t>
      </w:r>
      <w:bookmarkEnd w:id="19"/>
      <w:bookmarkEnd w:id="20"/>
      <w:bookmarkEnd w:id="21"/>
      <w:bookmarkEnd w:id="22"/>
      <w:bookmarkEnd w:id="23"/>
    </w:p>
    <w:p w:rsidR="00606656" w:rsidRDefault="001229D8" w:rsidP="004F3D6E">
      <w:pPr>
        <w:spacing w:line="240" w:lineRule="auto"/>
      </w:pPr>
      <w:r>
        <w:t xml:space="preserve">Projektová dokumentace respektuje požadavky stavebníka v rámci projednaných smluvních zadávacích podmínek stavby. </w:t>
      </w:r>
    </w:p>
    <w:p w:rsidR="00D20613" w:rsidRDefault="00C10CD3" w:rsidP="00606656">
      <w:pPr>
        <w:spacing w:line="240" w:lineRule="auto"/>
      </w:pPr>
      <w:r>
        <w:t xml:space="preserve">V prostorách místností které budou rekonstruovány budou stávající otopná tělesa nahrazena novými otopnými tělesy připojenými na stávající otopný systém. </w:t>
      </w:r>
    </w:p>
    <w:p w:rsidR="001229D8" w:rsidRDefault="00C10CD3" w:rsidP="00C10CD3">
      <w:pPr>
        <w:spacing w:line="240" w:lineRule="auto"/>
      </w:pPr>
      <w:r>
        <w:t>Nová otopná</w:t>
      </w:r>
      <w:r w:rsidR="003A365B">
        <w:t xml:space="preserve"> desková tělesa </w:t>
      </w:r>
      <w:r>
        <w:t xml:space="preserve">RADIK v provedení VKU </w:t>
      </w:r>
      <w:r w:rsidR="003A365B">
        <w:t xml:space="preserve">budou </w:t>
      </w:r>
      <w:r>
        <w:t xml:space="preserve"> umístěna pod okny v místě stávajících otopných těles, která budou demontována. Nová tělesa budou  </w:t>
      </w:r>
      <w:r w:rsidR="00242E4F">
        <w:t>osazena</w:t>
      </w:r>
      <w:r w:rsidR="00927C77">
        <w:t xml:space="preserve"> </w:t>
      </w:r>
      <w:r w:rsidR="00242E4F" w:rsidRPr="00242E4F">
        <w:t>regulačním šroubením (RŠ) a termohlavicemi</w:t>
      </w:r>
      <w:r w:rsidR="00242E4F">
        <w:t xml:space="preserve"> </w:t>
      </w:r>
      <w:r w:rsidR="00927C77">
        <w:t>(</w:t>
      </w:r>
      <w:r w:rsidR="00242E4F">
        <w:t>TRV)</w:t>
      </w:r>
      <w:r w:rsidR="00242E4F" w:rsidRPr="00242E4F">
        <w:t>.</w:t>
      </w:r>
      <w:r w:rsidR="004F3D6E">
        <w:t xml:space="preserve"> Připojení nových otopných těles na stávající rozvod bude zasekáno ve zdi. Nová otopná tělesa v provedení RADIK VKU jsou se spodním připojením, typ VK</w:t>
      </w:r>
      <w:r w:rsidR="0086697D">
        <w:t>.</w:t>
      </w:r>
      <w:r w:rsidR="0086697D" w:rsidRPr="0086697D">
        <w:t xml:space="preserve"> Model RADIK VKU je deskové otopné těleso v provedení VENTIL KOMPAKT, které umožňuje pravé nebo levé spodní připojení na otopnou soustavu s nuceným oběhem. Ze zadní strany nejsou navařeny příchytky a proto je možné otopné těleso typu 21, 22 a 33 otočit.</w:t>
      </w:r>
    </w:p>
    <w:p w:rsidR="0086697D" w:rsidRPr="00852DBB" w:rsidRDefault="0086697D" w:rsidP="00C10CD3">
      <w:pPr>
        <w:spacing w:line="240" w:lineRule="auto"/>
      </w:pPr>
    </w:p>
    <w:p w:rsidR="001229D8" w:rsidRDefault="001229D8" w:rsidP="00606656">
      <w:pPr>
        <w:pStyle w:val="Nadpis2"/>
      </w:pPr>
      <w:r>
        <w:lastRenderedPageBreak/>
        <w:t xml:space="preserve">Otopná soustava            </w:t>
      </w:r>
    </w:p>
    <w:p w:rsidR="00D20613" w:rsidRDefault="00C10CD3" w:rsidP="00606656">
      <w:pPr>
        <w:pStyle w:val="Nadpis2"/>
        <w:numPr>
          <w:ilvl w:val="0"/>
          <w:numId w:val="0"/>
        </w:numPr>
      </w:pPr>
      <w:r>
        <w:rPr>
          <w:b w:val="0"/>
        </w:rPr>
        <w:t xml:space="preserve">Systém Ú.T. v budově je stávající. </w:t>
      </w:r>
      <w:r w:rsidR="001229D8" w:rsidRPr="001229D8">
        <w:rPr>
          <w:b w:val="0"/>
        </w:rPr>
        <w:t xml:space="preserve"> Připojení </w:t>
      </w:r>
      <w:r>
        <w:rPr>
          <w:b w:val="0"/>
        </w:rPr>
        <w:t xml:space="preserve"> nových otopných těles bude na stávající systém Cu potrubím</w:t>
      </w:r>
      <w:r w:rsidR="004F3D6E">
        <w:rPr>
          <w:b w:val="0"/>
        </w:rPr>
        <w:t xml:space="preserve"> – Cu 15x1 zasekaným ve zdi a opatřeným izolací.</w:t>
      </w:r>
    </w:p>
    <w:p w:rsidR="001229D8" w:rsidRDefault="001229D8" w:rsidP="00606656">
      <w:pPr>
        <w:pStyle w:val="Nadpis2"/>
        <w:numPr>
          <w:ilvl w:val="0"/>
          <w:numId w:val="0"/>
        </w:numPr>
        <w:rPr>
          <w:b w:val="0"/>
        </w:rPr>
      </w:pPr>
    </w:p>
    <w:p w:rsidR="001229D8" w:rsidRDefault="001229D8" w:rsidP="00606656">
      <w:pPr>
        <w:pStyle w:val="Nadpis2"/>
      </w:pPr>
      <w:r>
        <w:t>Zdroj vytápění</w:t>
      </w:r>
    </w:p>
    <w:p w:rsidR="006B6834" w:rsidRPr="00FD2192" w:rsidRDefault="00242E4F" w:rsidP="00242E4F">
      <w:pPr>
        <w:pStyle w:val="Nadpis2"/>
        <w:numPr>
          <w:ilvl w:val="0"/>
          <w:numId w:val="0"/>
        </w:numPr>
        <w:rPr>
          <w:rFonts w:cs="Tahoma"/>
        </w:rPr>
      </w:pPr>
      <w:r>
        <w:rPr>
          <w:b w:val="0"/>
        </w:rPr>
        <w:t>Beze změn – původní.</w:t>
      </w:r>
    </w:p>
    <w:p w:rsidR="007D2979" w:rsidRDefault="007D2979" w:rsidP="00606656">
      <w:pPr>
        <w:pStyle w:val="Nadpis2"/>
        <w:numPr>
          <w:ilvl w:val="0"/>
          <w:numId w:val="0"/>
        </w:numPr>
        <w:rPr>
          <w:b w:val="0"/>
        </w:rPr>
      </w:pPr>
    </w:p>
    <w:p w:rsidR="001229D8" w:rsidRPr="00020610" w:rsidRDefault="007D2979" w:rsidP="00606656">
      <w:pPr>
        <w:pStyle w:val="Nadpis2"/>
      </w:pPr>
      <w:r>
        <w:t>Rozvod vytápění</w:t>
      </w:r>
    </w:p>
    <w:p w:rsidR="007D2979" w:rsidRPr="003A365B" w:rsidRDefault="00242E4F" w:rsidP="00242E4F">
      <w:pPr>
        <w:pStyle w:val="Zkladntext"/>
        <w:spacing w:line="240" w:lineRule="auto"/>
        <w:ind w:left="709" w:firstLine="0"/>
        <w:rPr>
          <w:rFonts w:ascii="Tahoma" w:hAnsi="Tahoma" w:cs="Tahoma"/>
          <w:sz w:val="22"/>
          <w:szCs w:val="22"/>
          <w:lang w:val="cs-CZ"/>
        </w:rPr>
      </w:pPr>
      <w:r>
        <w:rPr>
          <w:rFonts w:ascii="Tahoma" w:hAnsi="Tahoma" w:cs="Tahoma"/>
          <w:sz w:val="22"/>
          <w:szCs w:val="22"/>
          <w:lang w:val="cs-CZ"/>
        </w:rPr>
        <w:t>Nová otopná tělesa jsou navržena v teplotním spádu 80/60°C.</w:t>
      </w:r>
    </w:p>
    <w:p w:rsidR="00F82017" w:rsidRDefault="00F82017" w:rsidP="00242E4F">
      <w:pPr>
        <w:pStyle w:val="Zkladntext"/>
        <w:spacing w:line="240" w:lineRule="auto"/>
        <w:rPr>
          <w:rFonts w:ascii="Tahoma" w:hAnsi="Tahoma" w:cs="Tahoma"/>
          <w:sz w:val="22"/>
          <w:szCs w:val="22"/>
          <w:lang w:val="cs-CZ"/>
        </w:rPr>
      </w:pPr>
    </w:p>
    <w:p w:rsidR="001229D8" w:rsidRPr="00242E4F" w:rsidRDefault="004C3179" w:rsidP="00242E4F">
      <w:pPr>
        <w:pStyle w:val="Nadpis1"/>
      </w:pPr>
      <w:bookmarkStart w:id="24" w:name="_Toc294172216"/>
      <w:bookmarkStart w:id="25" w:name="_Toc329683576"/>
      <w:bookmarkStart w:id="26" w:name="_Toc400218809"/>
      <w:bookmarkStart w:id="27" w:name="_Toc400486017"/>
      <w:bookmarkStart w:id="28" w:name="_Toc523079712"/>
      <w:r w:rsidRPr="00CB653F">
        <w:t>regulace</w:t>
      </w:r>
      <w:bookmarkStart w:id="29" w:name="_Toc294172217"/>
      <w:bookmarkEnd w:id="24"/>
      <w:bookmarkEnd w:id="25"/>
      <w:bookmarkEnd w:id="26"/>
      <w:bookmarkEnd w:id="27"/>
      <w:bookmarkEnd w:id="28"/>
    </w:p>
    <w:p w:rsidR="00FD2192" w:rsidRDefault="00242E4F" w:rsidP="00FD2192">
      <w:pPr>
        <w:spacing w:line="240" w:lineRule="auto"/>
        <w:ind w:firstLine="0"/>
        <w:rPr>
          <w:rFonts w:eastAsia="MS Mincho" w:cs="Tahoma"/>
        </w:rPr>
      </w:pPr>
      <w:r>
        <w:rPr>
          <w:rFonts w:eastAsia="MS Mincho" w:cs="Tahoma"/>
        </w:rPr>
        <w:t>Nová o</w:t>
      </w:r>
      <w:r w:rsidR="00343331">
        <w:rPr>
          <w:rFonts w:eastAsia="MS Mincho" w:cs="Tahoma"/>
        </w:rPr>
        <w:t>topná těle</w:t>
      </w:r>
      <w:r w:rsidR="006752F7">
        <w:rPr>
          <w:rFonts w:eastAsia="MS Mincho" w:cs="Tahoma"/>
        </w:rPr>
        <w:t>sa budou osazena termohlavicemi</w:t>
      </w:r>
      <w:bookmarkEnd w:id="29"/>
      <w:r>
        <w:rPr>
          <w:rFonts w:eastAsia="MS Mincho" w:cs="Tahoma"/>
        </w:rPr>
        <w:t>. Regulace zdroje topné vody je původní.</w:t>
      </w:r>
    </w:p>
    <w:p w:rsidR="004C3179" w:rsidRPr="00FD2192" w:rsidRDefault="006752F7" w:rsidP="00FD2192">
      <w:pPr>
        <w:pStyle w:val="Nadpis1"/>
        <w:rPr>
          <w:rFonts w:eastAsia="MS Mincho" w:cs="Tahoma"/>
        </w:rPr>
      </w:pPr>
      <w:r>
        <w:t>Z</w:t>
      </w:r>
      <w:r w:rsidR="007D2979">
        <w:t>koušky zařízení a uvedení do p</w:t>
      </w:r>
      <w:r w:rsidR="00FD2192">
        <w:t>ro</w:t>
      </w:r>
      <w:r w:rsidR="007D2979">
        <w:t>vozu</w:t>
      </w:r>
    </w:p>
    <w:p w:rsidR="00545E84" w:rsidRDefault="00545E84" w:rsidP="00606656">
      <w:pPr>
        <w:pStyle w:val="Nadpis1"/>
        <w:numPr>
          <w:ilvl w:val="0"/>
          <w:numId w:val="0"/>
        </w:numPr>
        <w:rPr>
          <w:rFonts w:eastAsia="Calibri"/>
          <w:b w:val="0"/>
          <w:bCs w:val="0"/>
          <w:caps w:val="0"/>
          <w:kern w:val="0"/>
          <w:sz w:val="22"/>
          <w:szCs w:val="22"/>
        </w:rPr>
      </w:pPr>
      <w:bookmarkStart w:id="30" w:name="_Toc294172218"/>
      <w:bookmarkStart w:id="31" w:name="_Toc329683578"/>
      <w:bookmarkStart w:id="32" w:name="_Toc400218811"/>
      <w:bookmarkStart w:id="33" w:name="_Toc400486019"/>
      <w:bookmarkStart w:id="34" w:name="_Toc523079714"/>
    </w:p>
    <w:p w:rsidR="007D2979" w:rsidRDefault="007D2979" w:rsidP="00606656">
      <w:pPr>
        <w:pStyle w:val="Nadpis1"/>
        <w:numPr>
          <w:ilvl w:val="0"/>
          <w:numId w:val="0"/>
        </w:numPr>
        <w:rPr>
          <w:rFonts w:eastAsia="Calibri"/>
          <w:b w:val="0"/>
          <w:bCs w:val="0"/>
          <w:caps w:val="0"/>
          <w:kern w:val="0"/>
          <w:sz w:val="22"/>
          <w:szCs w:val="22"/>
        </w:rPr>
      </w:pPr>
      <w:r w:rsidRPr="007D2979">
        <w:rPr>
          <w:rFonts w:eastAsia="Calibri"/>
          <w:b w:val="0"/>
          <w:bCs w:val="0"/>
          <w:caps w:val="0"/>
          <w:kern w:val="0"/>
          <w:sz w:val="22"/>
          <w:szCs w:val="22"/>
        </w:rPr>
        <w:t>Po dokončení montáže před uvedením otopné soustavy do provozu bude proveden proplach celého top.</w:t>
      </w:r>
      <w:r w:rsidR="00927C77">
        <w:rPr>
          <w:rFonts w:eastAsia="Calibri"/>
          <w:b w:val="0"/>
          <w:bCs w:val="0"/>
          <w:caps w:val="0"/>
          <w:kern w:val="0"/>
          <w:sz w:val="22"/>
          <w:szCs w:val="22"/>
        </w:rPr>
        <w:t xml:space="preserve"> s</w:t>
      </w:r>
      <w:r w:rsidRPr="007D2979">
        <w:rPr>
          <w:rFonts w:eastAsia="Calibri"/>
          <w:b w:val="0"/>
          <w:bCs w:val="0"/>
          <w:caps w:val="0"/>
          <w:kern w:val="0"/>
          <w:sz w:val="22"/>
          <w:szCs w:val="22"/>
        </w:rPr>
        <w:t>ystému čistou vodou a několikanásobné vyčištění síta filtru !</w:t>
      </w:r>
      <w:r>
        <w:rPr>
          <w:rFonts w:eastAsia="Calibri"/>
          <w:b w:val="0"/>
          <w:bCs w:val="0"/>
          <w:caps w:val="0"/>
          <w:kern w:val="0"/>
          <w:sz w:val="22"/>
          <w:szCs w:val="22"/>
        </w:rPr>
        <w:t xml:space="preserve">! Otopná soustava bude naplněna </w:t>
      </w:r>
      <w:r w:rsidRPr="007D2979">
        <w:rPr>
          <w:rFonts w:eastAsia="Calibri"/>
          <w:b w:val="0"/>
          <w:bCs w:val="0"/>
          <w:caps w:val="0"/>
          <w:kern w:val="0"/>
          <w:sz w:val="22"/>
          <w:szCs w:val="22"/>
        </w:rPr>
        <w:t>upravenou vodou dle příslušných ČSN !! Během napouštění soustavy musí být prováděno odvzdu</w:t>
      </w:r>
      <w:r>
        <w:rPr>
          <w:rFonts w:eastAsia="Calibri"/>
          <w:b w:val="0"/>
          <w:bCs w:val="0"/>
          <w:caps w:val="0"/>
          <w:kern w:val="0"/>
          <w:sz w:val="22"/>
          <w:szCs w:val="22"/>
        </w:rPr>
        <w:t xml:space="preserve">šnění </w:t>
      </w:r>
      <w:r w:rsidRPr="007D2979">
        <w:rPr>
          <w:rFonts w:eastAsia="Calibri"/>
          <w:b w:val="0"/>
          <w:bCs w:val="0"/>
          <w:caps w:val="0"/>
          <w:kern w:val="0"/>
          <w:sz w:val="22"/>
          <w:szCs w:val="22"/>
        </w:rPr>
        <w:t>soustavy. Součástí montáže je provedení tlakových těsnostních z</w:t>
      </w:r>
      <w:r>
        <w:rPr>
          <w:rFonts w:eastAsia="Calibri"/>
          <w:b w:val="0"/>
          <w:bCs w:val="0"/>
          <w:caps w:val="0"/>
          <w:kern w:val="0"/>
          <w:sz w:val="22"/>
          <w:szCs w:val="22"/>
        </w:rPr>
        <w:t xml:space="preserve">koušek topných okruhů a celkové </w:t>
      </w:r>
      <w:r w:rsidRPr="007D2979">
        <w:rPr>
          <w:rFonts w:eastAsia="Calibri"/>
          <w:b w:val="0"/>
          <w:bCs w:val="0"/>
          <w:caps w:val="0"/>
          <w:kern w:val="0"/>
          <w:sz w:val="22"/>
          <w:szCs w:val="22"/>
        </w:rPr>
        <w:t>provozní topné zkoušky systému dle požadavků ČSN 06 0310</w:t>
      </w:r>
    </w:p>
    <w:p w:rsidR="00BA2194" w:rsidRDefault="00BA2194" w:rsidP="00FD2192">
      <w:pPr>
        <w:spacing w:line="240" w:lineRule="auto"/>
        <w:ind w:firstLine="0"/>
      </w:pPr>
      <w:bookmarkStart w:id="35" w:name="_Toc294172219"/>
      <w:bookmarkEnd w:id="30"/>
      <w:bookmarkEnd w:id="31"/>
      <w:bookmarkEnd w:id="32"/>
      <w:bookmarkEnd w:id="33"/>
      <w:bookmarkEnd w:id="34"/>
    </w:p>
    <w:p w:rsidR="004C3179" w:rsidRPr="00CB653F" w:rsidRDefault="00927C77" w:rsidP="00606656">
      <w:pPr>
        <w:pStyle w:val="Nadpis1"/>
      </w:pPr>
      <w:bookmarkStart w:id="36" w:name="_Toc294172220"/>
      <w:bookmarkStart w:id="37" w:name="_Toc329683582"/>
      <w:bookmarkStart w:id="38" w:name="_Toc400218815"/>
      <w:bookmarkStart w:id="39" w:name="_Toc400486023"/>
      <w:bookmarkStart w:id="40" w:name="_Toc523079718"/>
      <w:bookmarkEnd w:id="35"/>
      <w:r>
        <w:t>Z</w:t>
      </w:r>
      <w:r w:rsidR="004C3179" w:rsidRPr="00CB653F">
        <w:t>ávěr</w:t>
      </w:r>
      <w:bookmarkEnd w:id="36"/>
      <w:bookmarkEnd w:id="37"/>
      <w:bookmarkEnd w:id="38"/>
      <w:bookmarkEnd w:id="39"/>
      <w:bookmarkEnd w:id="40"/>
    </w:p>
    <w:p w:rsidR="004C3179" w:rsidRPr="0096332A" w:rsidRDefault="004C3179" w:rsidP="00606656">
      <w:pPr>
        <w:spacing w:line="240" w:lineRule="auto"/>
        <w:rPr>
          <w:rFonts w:cs="Tahoma"/>
          <w:noProof/>
        </w:rPr>
      </w:pPr>
      <w:r w:rsidRPr="0096332A">
        <w:rPr>
          <w:rFonts w:cs="Tahoma"/>
          <w:noProof/>
        </w:rPr>
        <w:t>Po skončení montáže celého zařízení je povinné systém zprovoznit servisním technikem s autorizací, který zároveň nastaví požadované parametry systému a regulačních elementů. Zprovoznění systému musí být doloženo Protokolem o zaregulování a nastavení systému.</w:t>
      </w:r>
    </w:p>
    <w:p w:rsidR="004C3179" w:rsidRPr="00927C77" w:rsidRDefault="004C3179" w:rsidP="00606656">
      <w:pPr>
        <w:spacing w:line="240" w:lineRule="auto"/>
        <w:rPr>
          <w:rFonts w:cs="Tahoma"/>
          <w:noProof/>
        </w:rPr>
      </w:pPr>
      <w:r w:rsidRPr="0096332A">
        <w:rPr>
          <w:rFonts w:cs="Tahoma"/>
          <w:noProof/>
        </w:rPr>
        <w:t>Projekt byl zpracován podle platných předpisů a ČSN za předpokladu montáže odbornými pracovníky</w:t>
      </w:r>
      <w:r w:rsidRPr="00E97865">
        <w:rPr>
          <w:rFonts w:ascii="Times New Roman" w:hAnsi="Times New Roman"/>
          <w:noProof/>
        </w:rPr>
        <w:t xml:space="preserve">. </w:t>
      </w:r>
      <w:r w:rsidRPr="00927C77">
        <w:rPr>
          <w:rFonts w:cs="Tahoma"/>
          <w:noProof/>
        </w:rPr>
        <w:t>Případné změny nebo doplňky je třeba předem projednat a dohodnout s projektantem.</w:t>
      </w:r>
    </w:p>
    <w:p w:rsidR="00BA2194" w:rsidRPr="00E97865" w:rsidRDefault="00BA2194" w:rsidP="00606656">
      <w:pPr>
        <w:spacing w:line="240" w:lineRule="auto"/>
        <w:rPr>
          <w:rFonts w:ascii="Times New Roman" w:hAnsi="Times New Roman"/>
          <w:noProof/>
        </w:rPr>
      </w:pPr>
    </w:p>
    <w:p w:rsidR="004C3179" w:rsidRPr="00CB653F" w:rsidRDefault="004C3179" w:rsidP="00606656">
      <w:pPr>
        <w:pStyle w:val="Nadpis1"/>
      </w:pPr>
      <w:bookmarkStart w:id="41" w:name="_Toc329683583"/>
      <w:bookmarkStart w:id="42" w:name="_Toc400218816"/>
      <w:bookmarkStart w:id="43" w:name="_Toc400486024"/>
      <w:bookmarkStart w:id="44" w:name="_Toc523079719"/>
      <w:r w:rsidRPr="00CB653F">
        <w:t>Bezpečnost práce</w:t>
      </w:r>
      <w:bookmarkEnd w:id="41"/>
      <w:bookmarkEnd w:id="42"/>
      <w:bookmarkEnd w:id="43"/>
      <w:bookmarkEnd w:id="44"/>
    </w:p>
    <w:p w:rsidR="00410966" w:rsidRDefault="004C3179" w:rsidP="00606656">
      <w:pPr>
        <w:spacing w:line="240" w:lineRule="auto"/>
      </w:pPr>
      <w:r w:rsidRPr="00B0652D">
        <w:t>Při provádění montážních prací je třeba dbát na dodržení bezpečnostních předpisů z hlediska bezpečnosti práce, ochrany zdraví a požární bezpečnosti (viz nařízení vlády ČR č.361/2007 Sb., kterým se stanoví podmínky ochrany zdraví při práci). Za to odpovídá dodavatelská firma.</w:t>
      </w:r>
      <w:r w:rsidR="007D2979" w:rsidRPr="007D2979">
        <w:t>Dodavatelé zajistí bezpečnostní opatření při souběhu montážních prací prováděných několika organizacemi najednou. Dodavatelé s požárním technikem zajistí opatření k protipožární bezpečnosti, zejména při sváření. Všichni pracovníci jsou povinni dodržovat všeobecně platné provozní předpisy a pokyny pro montáž. Zařízení musí montovat a zprovozňovat odborná firma, jejíchž pracovníci jsou seznámeni a proškoleni pro montáž daných zařízení. Zařízení nesmí být během montáže v</w:t>
      </w:r>
      <w:r w:rsidR="00643124">
        <w:t> </w:t>
      </w:r>
      <w:r w:rsidR="007D2979" w:rsidRPr="007D2979">
        <w:t>provozu</w:t>
      </w:r>
    </w:p>
    <w:p w:rsidR="00927C77" w:rsidRDefault="00927C77" w:rsidP="00606656">
      <w:pPr>
        <w:spacing w:line="240" w:lineRule="auto"/>
      </w:pPr>
    </w:p>
    <w:p w:rsidR="00927C77" w:rsidRDefault="00927C77" w:rsidP="00606656">
      <w:pPr>
        <w:spacing w:line="240" w:lineRule="auto"/>
      </w:pPr>
    </w:p>
    <w:p w:rsidR="00927C77" w:rsidRDefault="00927C77" w:rsidP="00606656">
      <w:pPr>
        <w:spacing w:line="240" w:lineRule="auto"/>
      </w:pPr>
    </w:p>
    <w:p w:rsidR="00643124" w:rsidRDefault="00643124" w:rsidP="00606656">
      <w:pPr>
        <w:spacing w:line="240" w:lineRule="auto"/>
      </w:pPr>
    </w:p>
    <w:p w:rsidR="004C3179" w:rsidRDefault="004C3179" w:rsidP="00606656">
      <w:pPr>
        <w:spacing w:line="240" w:lineRule="auto"/>
      </w:pPr>
      <w:r w:rsidRPr="008B2B54">
        <w:rPr>
          <w:b/>
        </w:rPr>
        <w:lastRenderedPageBreak/>
        <w:t>Všeobecně pro bezpečnost a ochranu zdraví platí tyto zásady</w:t>
      </w:r>
      <w:r>
        <w:t>:</w:t>
      </w:r>
    </w:p>
    <w:p w:rsidR="004C3179" w:rsidRDefault="004C3179" w:rsidP="00606656">
      <w:pPr>
        <w:numPr>
          <w:ilvl w:val="0"/>
          <w:numId w:val="21"/>
        </w:numPr>
        <w:spacing w:line="240" w:lineRule="auto"/>
        <w:ind w:left="851"/>
      </w:pPr>
      <w:r w:rsidRPr="009F31D5">
        <w:t xml:space="preserve">vybavit zaměstnance vhodným nářadím a ochrannými pomůckami potřebnými k zabezpečení výkonu práce podle profese, kterou vykonávají </w:t>
      </w:r>
      <w:r>
        <w:t xml:space="preserve">dle Sbírky zákonů České republiky Zákon č. 225/2012 Sb. </w:t>
      </w:r>
    </w:p>
    <w:p w:rsidR="004C3179" w:rsidRPr="009F31D5" w:rsidRDefault="004C3179" w:rsidP="00606656">
      <w:pPr>
        <w:numPr>
          <w:ilvl w:val="0"/>
          <w:numId w:val="21"/>
        </w:numPr>
        <w:spacing w:line="240" w:lineRule="auto"/>
        <w:ind w:left="851"/>
      </w:pPr>
      <w:r w:rsidRPr="009F31D5">
        <w:t>stavbyvedoucí je povinen seznámit zaměstnance se všemi předpisy a vyhláškou o ochraně zdraví při práci a před každou nově započatou prací provést školení zaměstnanců. V případě technologicky náročných prací je dodavatel stavby povinen vypracovat technologický postup prací.</w:t>
      </w:r>
    </w:p>
    <w:p w:rsidR="004C3179" w:rsidRPr="009F31D5" w:rsidRDefault="004C3179" w:rsidP="00606656">
      <w:pPr>
        <w:numPr>
          <w:ilvl w:val="0"/>
          <w:numId w:val="21"/>
        </w:numPr>
        <w:spacing w:line="240" w:lineRule="auto"/>
        <w:ind w:left="851"/>
      </w:pPr>
      <w:r w:rsidRPr="009F31D5">
        <w:t>průběhu prací vést provozní deník</w:t>
      </w:r>
    </w:p>
    <w:p w:rsidR="004C3179" w:rsidRPr="009F31D5" w:rsidRDefault="004C3179" w:rsidP="00606656">
      <w:pPr>
        <w:numPr>
          <w:ilvl w:val="0"/>
          <w:numId w:val="21"/>
        </w:numPr>
        <w:spacing w:line="240" w:lineRule="auto"/>
        <w:ind w:left="851"/>
      </w:pPr>
      <w:r w:rsidRPr="009F31D5">
        <w:t xml:space="preserve">zajistit požadavky na bezpečnost práce při výkopových pracích a dodržovat </w:t>
      </w:r>
      <w:r>
        <w:t>Sbírku zákonů České republiky Zákon č. 196/2012 Sb. a 197/2012 Sb. o pozemních komunikací ( zákon o silničním provozu).</w:t>
      </w:r>
      <w:r w:rsidRPr="009F31D5">
        <w:t xml:space="preserve"> Zajistit výkopy proti pádu osob, u komunikací označit značkou a v noci a za snížené viditelnosti červeným výstražným světlem. </w:t>
      </w:r>
    </w:p>
    <w:p w:rsidR="004C3179" w:rsidRDefault="004C3179" w:rsidP="00606656">
      <w:pPr>
        <w:numPr>
          <w:ilvl w:val="0"/>
          <w:numId w:val="21"/>
        </w:numPr>
        <w:spacing w:line="240" w:lineRule="auto"/>
        <w:ind w:left="851"/>
      </w:pPr>
      <w:r>
        <w:t>h</w:t>
      </w:r>
      <w:r w:rsidRPr="009F31D5">
        <w:t>luk</w:t>
      </w:r>
      <w:r w:rsidRPr="00A2595F">
        <w:t xml:space="preserve"> - p</w:t>
      </w:r>
      <w:r w:rsidRPr="009F31D5">
        <w:t xml:space="preserve">osouzení vychází z Nařízení vlády č. </w:t>
      </w:r>
      <w:r w:rsidRPr="00BC5096">
        <w:t>272/2011 Sb.</w:t>
      </w:r>
      <w:r w:rsidRPr="009F31D5">
        <w:t xml:space="preserve"> o ochraně zdraví před nepříznivými účinky hluku a vibrací a zákonu č. 258/2000 Sb., o ochraně veřejného zdraví, ve znění zákona č. 392/2005 Sb.</w:t>
      </w:r>
    </w:p>
    <w:p w:rsidR="004C3179" w:rsidRDefault="004C3179" w:rsidP="00606656">
      <w:pPr>
        <w:numPr>
          <w:ilvl w:val="0"/>
          <w:numId w:val="21"/>
        </w:numPr>
        <w:spacing w:line="240" w:lineRule="auto"/>
        <w:ind w:left="851"/>
      </w:pPr>
      <w:r>
        <w:t>ochranu ovzduší dodržovat dle Sbírky zákonů České republiky Zákon č. 201/2012 Sb.</w:t>
      </w:r>
    </w:p>
    <w:p w:rsidR="00FA13CF" w:rsidRDefault="00FA13CF" w:rsidP="00606656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</w:p>
    <w:p w:rsidR="00FA13CF" w:rsidRDefault="00FA13CF" w:rsidP="00606656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</w:p>
    <w:p w:rsidR="00451768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</w:p>
    <w:p w:rsidR="00451768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</w:p>
    <w:p w:rsidR="00451768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</w:p>
    <w:p w:rsidR="00451768" w:rsidRPr="006641CF" w:rsidRDefault="006641CF" w:rsidP="006641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40"/>
          <w:szCs w:val="40"/>
          <w:u w:val="single"/>
          <w:lang w:eastAsia="cs-CZ"/>
        </w:rPr>
      </w:pPr>
      <w:r>
        <w:rPr>
          <w:rFonts w:ascii="Arial" w:hAnsi="Arial" w:cs="Arial"/>
          <w:b/>
          <w:sz w:val="40"/>
          <w:szCs w:val="40"/>
          <w:u w:val="single"/>
          <w:lang w:eastAsia="cs-CZ"/>
        </w:rPr>
        <w:t>Výkaz výměr :</w:t>
      </w:r>
    </w:p>
    <w:p w:rsidR="00451768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Otopné těleso RADIK VKU – 22-600/1600 …………………………………………………  2 ks</w:t>
      </w:r>
    </w:p>
    <w:p w:rsidR="00056ED4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  <w:r w:rsidRPr="00451768">
        <w:rPr>
          <w:rFonts w:cs="Arial"/>
          <w:lang w:eastAsia="cs-CZ"/>
        </w:rPr>
        <w:t>IVAR - VEKOLUX IVAR KIT DS 346 ROHOVÝ EKX15X1 CU (KIT500848)</w:t>
      </w:r>
      <w:r>
        <w:rPr>
          <w:rFonts w:cs="Arial"/>
          <w:lang w:eastAsia="cs-CZ"/>
        </w:rPr>
        <w:t>………. 2 ks</w:t>
      </w:r>
    </w:p>
    <w:p w:rsidR="00451768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 xml:space="preserve">( termohlavice T5000, připojovací radiátorová armatura – rohová, svěrné šroubení </w:t>
      </w:r>
    </w:p>
    <w:p w:rsidR="00056ED4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na Cupotrubí )</w:t>
      </w:r>
    </w:p>
    <w:p w:rsidR="00451768" w:rsidRDefault="00451768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Cu potrubí – Cu 15x1 včetně izolace …………………………………………………………. 2 m</w:t>
      </w:r>
    </w:p>
    <w:p w:rsidR="00AF4C77" w:rsidRDefault="00451768" w:rsidP="00AF4C77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  <w:r>
        <w:rPr>
          <w:rFonts w:cs="Arial"/>
          <w:lang w:eastAsia="cs-CZ"/>
        </w:rPr>
        <w:t>Cu potrubí – koleno 15 ………………………………………………………………………….…. 8 ks</w:t>
      </w:r>
    </w:p>
    <w:p w:rsidR="006641CF" w:rsidRDefault="006641CF" w:rsidP="00AF4C77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</w:p>
    <w:p w:rsidR="00AF4C77" w:rsidRDefault="00AF4C77" w:rsidP="00FA13CF">
      <w:pPr>
        <w:autoSpaceDE w:val="0"/>
        <w:autoSpaceDN w:val="0"/>
        <w:adjustRightInd w:val="0"/>
        <w:spacing w:after="0" w:line="240" w:lineRule="auto"/>
        <w:rPr>
          <w:rFonts w:cs="Arial"/>
          <w:lang w:eastAsia="cs-CZ"/>
        </w:rPr>
      </w:pPr>
    </w:p>
    <w:p w:rsidR="00FA13CF" w:rsidRDefault="00AF4C77" w:rsidP="00076992">
      <w:pPr>
        <w:tabs>
          <w:tab w:val="right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cs="Arial"/>
          <w:lang w:eastAsia="cs-CZ"/>
        </w:rPr>
      </w:pPr>
      <w:r>
        <w:rPr>
          <w:rFonts w:cs="Arial"/>
          <w:noProof/>
          <w:lang w:eastAsia="cs-CZ"/>
        </w:rPr>
        <w:drawing>
          <wp:inline distT="0" distB="0" distL="0" distR="0">
            <wp:extent cx="5591175" cy="2532218"/>
            <wp:effectExtent l="0" t="0" r="0" b="1905"/>
            <wp:docPr id="3" name="Obrázek 3" descr="C:\Users\admin\Desktop\FF UK Praha - UT\6fd793bf-9240-4146-84ba-3ebf1a6708c5_l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FF UK Praha - UT\6fd793bf-9240-4146-84ba-3ebf1a6708c5_lrg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38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5" w:name="_GoBack"/>
      <w:bookmarkEnd w:id="45"/>
      <w:r w:rsidR="00076992">
        <w:rPr>
          <w:rFonts w:cs="Arial"/>
          <w:lang w:eastAsia="cs-CZ"/>
        </w:rPr>
        <w:tab/>
      </w:r>
    </w:p>
    <w:p w:rsidR="00AF4C77" w:rsidRDefault="00AF4C77" w:rsidP="00076992">
      <w:pPr>
        <w:tabs>
          <w:tab w:val="right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cs="Arial"/>
          <w:lang w:eastAsia="cs-CZ"/>
        </w:rPr>
      </w:pPr>
    </w:p>
    <w:p w:rsidR="00AF4C77" w:rsidRDefault="00AF4C77" w:rsidP="00076992">
      <w:pPr>
        <w:tabs>
          <w:tab w:val="right" w:pos="8505"/>
        </w:tabs>
        <w:autoSpaceDE w:val="0"/>
        <w:autoSpaceDN w:val="0"/>
        <w:adjustRightInd w:val="0"/>
        <w:spacing w:after="0" w:line="240" w:lineRule="auto"/>
        <w:ind w:firstLine="567"/>
        <w:rPr>
          <w:rFonts w:cs="Arial"/>
          <w:lang w:eastAsia="cs-CZ"/>
        </w:rPr>
      </w:pPr>
      <w:r>
        <w:rPr>
          <w:noProof/>
          <w:lang w:eastAsia="cs-CZ"/>
        </w:rPr>
        <w:lastRenderedPageBreak/>
        <w:drawing>
          <wp:inline distT="0" distB="0" distL="0" distR="0">
            <wp:extent cx="5753099" cy="3924300"/>
            <wp:effectExtent l="0" t="0" r="635" b="0"/>
            <wp:docPr id="4" name="obrázek 2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928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4C77" w:rsidSect="00154535">
      <w:footerReference w:type="default" r:id="rId10"/>
      <w:pgSz w:w="11906" w:h="16838"/>
      <w:pgMar w:top="1418" w:right="1418" w:bottom="1701" w:left="1418" w:header="709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FD0" w:rsidRDefault="002F3FD0" w:rsidP="00CB6451">
      <w:pPr>
        <w:spacing w:after="0" w:line="240" w:lineRule="auto"/>
      </w:pPr>
      <w:r>
        <w:separator/>
      </w:r>
    </w:p>
  </w:endnote>
  <w:endnote w:type="continuationSeparator" w:id="1">
    <w:p w:rsidR="002F3FD0" w:rsidRDefault="002F3FD0" w:rsidP="00CB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E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3C3" w:rsidRDefault="004E43C3">
    <w:pPr>
      <w:pStyle w:val="Zpat"/>
      <w:jc w:val="right"/>
    </w:pPr>
    <w:r>
      <w:t xml:space="preserve">Strana | </w:t>
    </w:r>
    <w:r w:rsidR="004C2686">
      <w:fldChar w:fldCharType="begin"/>
    </w:r>
    <w:r>
      <w:instrText>PAGE   \* MERGEFORMAT</w:instrText>
    </w:r>
    <w:r w:rsidR="004C2686">
      <w:fldChar w:fldCharType="separate"/>
    </w:r>
    <w:r w:rsidR="00927C77">
      <w:rPr>
        <w:noProof/>
      </w:rPr>
      <w:t>2</w:t>
    </w:r>
    <w:r w:rsidR="004C2686">
      <w:fldChar w:fldCharType="end"/>
    </w:r>
  </w:p>
  <w:p w:rsidR="004E43C3" w:rsidRPr="002D7DC9" w:rsidRDefault="004E43C3" w:rsidP="002D7DC9">
    <w:pPr>
      <w:pStyle w:val="Zpat"/>
      <w:jc w:val="center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FD0" w:rsidRDefault="002F3FD0" w:rsidP="00CB6451">
      <w:pPr>
        <w:spacing w:after="0" w:line="240" w:lineRule="auto"/>
      </w:pPr>
      <w:r>
        <w:separator/>
      </w:r>
    </w:p>
  </w:footnote>
  <w:footnote w:type="continuationSeparator" w:id="1">
    <w:p w:rsidR="002F3FD0" w:rsidRDefault="002F3FD0" w:rsidP="00CB6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0920"/>
    <w:multiLevelType w:val="hybridMultilevel"/>
    <w:tmpl w:val="E88A9354"/>
    <w:lvl w:ilvl="0" w:tplc="79B0C89C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510964"/>
    <w:multiLevelType w:val="hybridMultilevel"/>
    <w:tmpl w:val="BFF23620"/>
    <w:lvl w:ilvl="0" w:tplc="07A49630">
      <w:start w:val="4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35950"/>
    <w:multiLevelType w:val="hybridMultilevel"/>
    <w:tmpl w:val="C4F22C6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F15F6"/>
    <w:multiLevelType w:val="hybridMultilevel"/>
    <w:tmpl w:val="A0D23BEC"/>
    <w:lvl w:ilvl="0" w:tplc="56185C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77FC1"/>
    <w:multiLevelType w:val="hybridMultilevel"/>
    <w:tmpl w:val="B33A614A"/>
    <w:lvl w:ilvl="0" w:tplc="0405000F">
      <w:start w:val="1"/>
      <w:numFmt w:val="decimal"/>
      <w:pStyle w:val="Seznamsodrkami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213D26"/>
    <w:multiLevelType w:val="hybridMultilevel"/>
    <w:tmpl w:val="4A58877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05045DC"/>
    <w:multiLevelType w:val="hybridMultilevel"/>
    <w:tmpl w:val="875083F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89A5C68"/>
    <w:multiLevelType w:val="hybridMultilevel"/>
    <w:tmpl w:val="A12A4580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28FD2679"/>
    <w:multiLevelType w:val="hybridMultilevel"/>
    <w:tmpl w:val="4EC43774"/>
    <w:lvl w:ilvl="0" w:tplc="0794350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B470D4F"/>
    <w:multiLevelType w:val="hybridMultilevel"/>
    <w:tmpl w:val="9E9AF724"/>
    <w:lvl w:ilvl="0" w:tplc="C04A79C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F7382"/>
    <w:multiLevelType w:val="hybridMultilevel"/>
    <w:tmpl w:val="CDCA4C8A"/>
    <w:lvl w:ilvl="0" w:tplc="B4CCA7E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E81471"/>
    <w:multiLevelType w:val="hybridMultilevel"/>
    <w:tmpl w:val="D5967D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43431"/>
    <w:multiLevelType w:val="multilevel"/>
    <w:tmpl w:val="F7B43EBE"/>
    <w:lvl w:ilvl="0">
      <w:start w:val="1"/>
      <w:numFmt w:val="decimal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1" w:hanging="851"/>
      </w:pPr>
      <w:rPr>
        <w:rFonts w:hint="default"/>
      </w:rPr>
    </w:lvl>
  </w:abstractNum>
  <w:abstractNum w:abstractNumId="13">
    <w:nsid w:val="35A95A43"/>
    <w:multiLevelType w:val="hybridMultilevel"/>
    <w:tmpl w:val="D444F25A"/>
    <w:lvl w:ilvl="0" w:tplc="553C615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13D12"/>
    <w:multiLevelType w:val="hybridMultilevel"/>
    <w:tmpl w:val="168EC13C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41AE68EE"/>
    <w:multiLevelType w:val="hybridMultilevel"/>
    <w:tmpl w:val="D79611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DD3B48"/>
    <w:multiLevelType w:val="hybridMultilevel"/>
    <w:tmpl w:val="4EC43774"/>
    <w:lvl w:ilvl="0" w:tplc="0794350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3724F7"/>
    <w:multiLevelType w:val="hybridMultilevel"/>
    <w:tmpl w:val="093A7A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A43C6E"/>
    <w:multiLevelType w:val="hybridMultilevel"/>
    <w:tmpl w:val="7F2C4F1A"/>
    <w:lvl w:ilvl="0" w:tplc="3FEA71AE">
      <w:start w:val="11"/>
      <w:numFmt w:val="bullet"/>
      <w:lvlText w:val="-"/>
      <w:lvlJc w:val="left"/>
      <w:pPr>
        <w:ind w:left="1429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CAD4E71"/>
    <w:multiLevelType w:val="multilevel"/>
    <w:tmpl w:val="612E96E6"/>
    <w:lvl w:ilvl="0">
      <w:start w:val="1"/>
      <w:numFmt w:val="decimal"/>
      <w:pStyle w:val="Nadpis1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560"/>
        </w:tabs>
        <w:ind w:left="709" w:firstLine="0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>
    <w:nsid w:val="4CF0520B"/>
    <w:multiLevelType w:val="hybridMultilevel"/>
    <w:tmpl w:val="3E0260B4"/>
    <w:lvl w:ilvl="0" w:tplc="492208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D576F"/>
    <w:multiLevelType w:val="hybridMultilevel"/>
    <w:tmpl w:val="B5561D7A"/>
    <w:lvl w:ilvl="0" w:tplc="04050017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2">
    <w:nsid w:val="51AA3F6B"/>
    <w:multiLevelType w:val="hybridMultilevel"/>
    <w:tmpl w:val="4EC43774"/>
    <w:lvl w:ilvl="0" w:tplc="0794350A">
      <w:start w:val="1"/>
      <w:numFmt w:val="lowerLetter"/>
      <w:lvlText w:val="%1)"/>
      <w:lvlJc w:val="left"/>
      <w:pPr>
        <w:ind w:left="1069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B45204"/>
    <w:multiLevelType w:val="hybridMultilevel"/>
    <w:tmpl w:val="82FECDCC"/>
    <w:lvl w:ilvl="0" w:tplc="1A8E011A">
      <w:start w:val="1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91086E"/>
    <w:multiLevelType w:val="hybridMultilevel"/>
    <w:tmpl w:val="160E7E20"/>
    <w:lvl w:ilvl="0" w:tplc="6B4CC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8BAFC">
      <w:start w:val="1"/>
      <w:numFmt w:val="bullet"/>
      <w:pStyle w:val="Normln-od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ABC9E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6004F9"/>
    <w:multiLevelType w:val="hybridMultilevel"/>
    <w:tmpl w:val="CB7E1E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C7FAE"/>
    <w:multiLevelType w:val="hybridMultilevel"/>
    <w:tmpl w:val="9FF650D8"/>
    <w:lvl w:ilvl="0" w:tplc="806AF22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EE2AAB"/>
    <w:multiLevelType w:val="hybridMultilevel"/>
    <w:tmpl w:val="594E7E9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7C4C36A0"/>
    <w:multiLevelType w:val="hybridMultilevel"/>
    <w:tmpl w:val="A4DC0582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1"/>
  </w:num>
  <w:num w:numId="3">
    <w:abstractNumId w:val="11"/>
  </w:num>
  <w:num w:numId="4">
    <w:abstractNumId w:val="20"/>
  </w:num>
  <w:num w:numId="5">
    <w:abstractNumId w:val="13"/>
  </w:num>
  <w:num w:numId="6">
    <w:abstractNumId w:val="3"/>
  </w:num>
  <w:num w:numId="7">
    <w:abstractNumId w:val="26"/>
  </w:num>
  <w:num w:numId="8">
    <w:abstractNumId w:val="25"/>
  </w:num>
  <w:num w:numId="9">
    <w:abstractNumId w:val="10"/>
  </w:num>
  <w:num w:numId="10">
    <w:abstractNumId w:val="0"/>
  </w:num>
  <w:num w:numId="11">
    <w:abstractNumId w:val="17"/>
  </w:num>
  <w:num w:numId="12">
    <w:abstractNumId w:val="15"/>
  </w:num>
  <w:num w:numId="13">
    <w:abstractNumId w:val="9"/>
  </w:num>
  <w:num w:numId="14">
    <w:abstractNumId w:val="1"/>
  </w:num>
  <w:num w:numId="15">
    <w:abstractNumId w:val="19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2"/>
  </w:num>
  <w:num w:numId="19">
    <w:abstractNumId w:val="16"/>
  </w:num>
  <w:num w:numId="20">
    <w:abstractNumId w:val="4"/>
  </w:num>
  <w:num w:numId="21">
    <w:abstractNumId w:val="27"/>
  </w:num>
  <w:num w:numId="22">
    <w:abstractNumId w:val="24"/>
  </w:num>
  <w:num w:numId="23">
    <w:abstractNumId w:val="14"/>
  </w:num>
  <w:num w:numId="24">
    <w:abstractNumId w:val="7"/>
  </w:num>
  <w:num w:numId="25">
    <w:abstractNumId w:val="28"/>
  </w:num>
  <w:num w:numId="26">
    <w:abstractNumId w:val="5"/>
  </w:num>
  <w:num w:numId="27">
    <w:abstractNumId w:val="6"/>
  </w:num>
  <w:num w:numId="28">
    <w:abstractNumId w:val="8"/>
  </w:num>
  <w:num w:numId="29">
    <w:abstractNumId w:val="23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66FEE"/>
    <w:rsid w:val="000072FC"/>
    <w:rsid w:val="000110F0"/>
    <w:rsid w:val="00017B1C"/>
    <w:rsid w:val="00020610"/>
    <w:rsid w:val="00021C99"/>
    <w:rsid w:val="00022591"/>
    <w:rsid w:val="00023219"/>
    <w:rsid w:val="000241A1"/>
    <w:rsid w:val="00025D6A"/>
    <w:rsid w:val="00041F25"/>
    <w:rsid w:val="000429AC"/>
    <w:rsid w:val="000443BE"/>
    <w:rsid w:val="000447FB"/>
    <w:rsid w:val="000547C1"/>
    <w:rsid w:val="00056417"/>
    <w:rsid w:val="00056ED4"/>
    <w:rsid w:val="00063353"/>
    <w:rsid w:val="00066209"/>
    <w:rsid w:val="00066879"/>
    <w:rsid w:val="0006772A"/>
    <w:rsid w:val="0007346C"/>
    <w:rsid w:val="00075371"/>
    <w:rsid w:val="0007685E"/>
    <w:rsid w:val="00076992"/>
    <w:rsid w:val="00077AC7"/>
    <w:rsid w:val="00082717"/>
    <w:rsid w:val="0008642F"/>
    <w:rsid w:val="00086B79"/>
    <w:rsid w:val="000A1560"/>
    <w:rsid w:val="000A26D2"/>
    <w:rsid w:val="000A4A6B"/>
    <w:rsid w:val="000A5255"/>
    <w:rsid w:val="000C60C8"/>
    <w:rsid w:val="000C78C2"/>
    <w:rsid w:val="000F0E63"/>
    <w:rsid w:val="000F3721"/>
    <w:rsid w:val="000F3E3B"/>
    <w:rsid w:val="00112418"/>
    <w:rsid w:val="001229D8"/>
    <w:rsid w:val="00130A0C"/>
    <w:rsid w:val="00151CE3"/>
    <w:rsid w:val="00154535"/>
    <w:rsid w:val="0015487C"/>
    <w:rsid w:val="001568EA"/>
    <w:rsid w:val="00157137"/>
    <w:rsid w:val="00163E06"/>
    <w:rsid w:val="0016721D"/>
    <w:rsid w:val="00180A68"/>
    <w:rsid w:val="00181A25"/>
    <w:rsid w:val="001866D4"/>
    <w:rsid w:val="001918CC"/>
    <w:rsid w:val="00192087"/>
    <w:rsid w:val="0019691E"/>
    <w:rsid w:val="001C64F9"/>
    <w:rsid w:val="001D1B91"/>
    <w:rsid w:val="001E0C77"/>
    <w:rsid w:val="001E4B16"/>
    <w:rsid w:val="001E691F"/>
    <w:rsid w:val="001F30BB"/>
    <w:rsid w:val="001F43E1"/>
    <w:rsid w:val="002017A7"/>
    <w:rsid w:val="00230267"/>
    <w:rsid w:val="00231D59"/>
    <w:rsid w:val="00242E4F"/>
    <w:rsid w:val="00253D40"/>
    <w:rsid w:val="00255AD8"/>
    <w:rsid w:val="00260EC0"/>
    <w:rsid w:val="00261FB5"/>
    <w:rsid w:val="00262A41"/>
    <w:rsid w:val="0027395F"/>
    <w:rsid w:val="00276373"/>
    <w:rsid w:val="00286B09"/>
    <w:rsid w:val="002926DA"/>
    <w:rsid w:val="00295425"/>
    <w:rsid w:val="00297048"/>
    <w:rsid w:val="002A1B12"/>
    <w:rsid w:val="002A7A49"/>
    <w:rsid w:val="002B4533"/>
    <w:rsid w:val="002C5148"/>
    <w:rsid w:val="002D1545"/>
    <w:rsid w:val="002D760B"/>
    <w:rsid w:val="002D7DC9"/>
    <w:rsid w:val="002E0F99"/>
    <w:rsid w:val="002E1F9C"/>
    <w:rsid w:val="002F3EB9"/>
    <w:rsid w:val="002F3FD0"/>
    <w:rsid w:val="00301C35"/>
    <w:rsid w:val="00307A0F"/>
    <w:rsid w:val="00336B4F"/>
    <w:rsid w:val="00337F10"/>
    <w:rsid w:val="0034141E"/>
    <w:rsid w:val="003430E2"/>
    <w:rsid w:val="00343331"/>
    <w:rsid w:val="00347F8D"/>
    <w:rsid w:val="0035171C"/>
    <w:rsid w:val="00366047"/>
    <w:rsid w:val="0037062D"/>
    <w:rsid w:val="00383D14"/>
    <w:rsid w:val="0038509C"/>
    <w:rsid w:val="00392F41"/>
    <w:rsid w:val="003940D7"/>
    <w:rsid w:val="003A0D83"/>
    <w:rsid w:val="003A26A2"/>
    <w:rsid w:val="003A365B"/>
    <w:rsid w:val="003A69CE"/>
    <w:rsid w:val="003A79AF"/>
    <w:rsid w:val="003B01AD"/>
    <w:rsid w:val="003C08E6"/>
    <w:rsid w:val="003C4407"/>
    <w:rsid w:val="003C5FDE"/>
    <w:rsid w:val="003D0551"/>
    <w:rsid w:val="003D0E78"/>
    <w:rsid w:val="003D393B"/>
    <w:rsid w:val="003D52A5"/>
    <w:rsid w:val="004006CE"/>
    <w:rsid w:val="004048F2"/>
    <w:rsid w:val="00406C0D"/>
    <w:rsid w:val="00410864"/>
    <w:rsid w:val="00410966"/>
    <w:rsid w:val="00410C93"/>
    <w:rsid w:val="00411CA9"/>
    <w:rsid w:val="00414147"/>
    <w:rsid w:val="00414B1D"/>
    <w:rsid w:val="00415205"/>
    <w:rsid w:val="004152E5"/>
    <w:rsid w:val="0041598A"/>
    <w:rsid w:val="004170B5"/>
    <w:rsid w:val="004212D4"/>
    <w:rsid w:val="00426718"/>
    <w:rsid w:val="004356ED"/>
    <w:rsid w:val="00436FEF"/>
    <w:rsid w:val="0045096A"/>
    <w:rsid w:val="00451768"/>
    <w:rsid w:val="004610FC"/>
    <w:rsid w:val="0046630E"/>
    <w:rsid w:val="0047154B"/>
    <w:rsid w:val="00473800"/>
    <w:rsid w:val="004856A6"/>
    <w:rsid w:val="004925DE"/>
    <w:rsid w:val="004938E8"/>
    <w:rsid w:val="00493E47"/>
    <w:rsid w:val="00494664"/>
    <w:rsid w:val="004976C4"/>
    <w:rsid w:val="004A7E9D"/>
    <w:rsid w:val="004B61F8"/>
    <w:rsid w:val="004B6915"/>
    <w:rsid w:val="004C040C"/>
    <w:rsid w:val="004C2686"/>
    <w:rsid w:val="004C3179"/>
    <w:rsid w:val="004D31F9"/>
    <w:rsid w:val="004E43C3"/>
    <w:rsid w:val="004E6C84"/>
    <w:rsid w:val="004F0EA6"/>
    <w:rsid w:val="004F2C05"/>
    <w:rsid w:val="004F3D6E"/>
    <w:rsid w:val="004F616B"/>
    <w:rsid w:val="00502910"/>
    <w:rsid w:val="00511B88"/>
    <w:rsid w:val="00511F01"/>
    <w:rsid w:val="005137FD"/>
    <w:rsid w:val="00520E90"/>
    <w:rsid w:val="00534826"/>
    <w:rsid w:val="005350F4"/>
    <w:rsid w:val="00537E74"/>
    <w:rsid w:val="005429CF"/>
    <w:rsid w:val="00545E84"/>
    <w:rsid w:val="00547DED"/>
    <w:rsid w:val="00550FA6"/>
    <w:rsid w:val="00561127"/>
    <w:rsid w:val="00561A30"/>
    <w:rsid w:val="005633AA"/>
    <w:rsid w:val="0057258E"/>
    <w:rsid w:val="005742E8"/>
    <w:rsid w:val="00580E69"/>
    <w:rsid w:val="0059611F"/>
    <w:rsid w:val="0059674D"/>
    <w:rsid w:val="005B13D2"/>
    <w:rsid w:val="005B15E2"/>
    <w:rsid w:val="005B349D"/>
    <w:rsid w:val="005B3AD6"/>
    <w:rsid w:val="005B50FD"/>
    <w:rsid w:val="005B7472"/>
    <w:rsid w:val="005C7571"/>
    <w:rsid w:val="005D1EF9"/>
    <w:rsid w:val="005D259E"/>
    <w:rsid w:val="005D3591"/>
    <w:rsid w:val="005D486E"/>
    <w:rsid w:val="005D720F"/>
    <w:rsid w:val="005D7663"/>
    <w:rsid w:val="00604C34"/>
    <w:rsid w:val="00606656"/>
    <w:rsid w:val="006105B7"/>
    <w:rsid w:val="00611F07"/>
    <w:rsid w:val="00616F70"/>
    <w:rsid w:val="00617D55"/>
    <w:rsid w:val="006245C4"/>
    <w:rsid w:val="006368D9"/>
    <w:rsid w:val="006428C1"/>
    <w:rsid w:val="00642C1D"/>
    <w:rsid w:val="00643124"/>
    <w:rsid w:val="00654FCB"/>
    <w:rsid w:val="00661F60"/>
    <w:rsid w:val="00662488"/>
    <w:rsid w:val="00662F7D"/>
    <w:rsid w:val="006641CF"/>
    <w:rsid w:val="006752F7"/>
    <w:rsid w:val="00675B9C"/>
    <w:rsid w:val="006804EB"/>
    <w:rsid w:val="006860C3"/>
    <w:rsid w:val="00692B23"/>
    <w:rsid w:val="00694225"/>
    <w:rsid w:val="006A0030"/>
    <w:rsid w:val="006A06AE"/>
    <w:rsid w:val="006B1B00"/>
    <w:rsid w:val="006B36C0"/>
    <w:rsid w:val="006B5A72"/>
    <w:rsid w:val="006B6834"/>
    <w:rsid w:val="006C14F5"/>
    <w:rsid w:val="006C5E07"/>
    <w:rsid w:val="006C7A9B"/>
    <w:rsid w:val="006D084D"/>
    <w:rsid w:val="006D149C"/>
    <w:rsid w:val="006D35C1"/>
    <w:rsid w:val="006E5891"/>
    <w:rsid w:val="006E78B4"/>
    <w:rsid w:val="006F22B6"/>
    <w:rsid w:val="006F2946"/>
    <w:rsid w:val="007026D2"/>
    <w:rsid w:val="00705992"/>
    <w:rsid w:val="00713F45"/>
    <w:rsid w:val="00715ED1"/>
    <w:rsid w:val="00720ADF"/>
    <w:rsid w:val="00727EC2"/>
    <w:rsid w:val="00735F60"/>
    <w:rsid w:val="007367AF"/>
    <w:rsid w:val="00740E28"/>
    <w:rsid w:val="00742AE1"/>
    <w:rsid w:val="007446E7"/>
    <w:rsid w:val="007455BE"/>
    <w:rsid w:val="007544EE"/>
    <w:rsid w:val="007575FF"/>
    <w:rsid w:val="0075764B"/>
    <w:rsid w:val="00763750"/>
    <w:rsid w:val="00765F86"/>
    <w:rsid w:val="00770932"/>
    <w:rsid w:val="00777495"/>
    <w:rsid w:val="00777AC0"/>
    <w:rsid w:val="00782002"/>
    <w:rsid w:val="00783FB3"/>
    <w:rsid w:val="007845C5"/>
    <w:rsid w:val="00791617"/>
    <w:rsid w:val="00791C9A"/>
    <w:rsid w:val="00791D82"/>
    <w:rsid w:val="00791EF9"/>
    <w:rsid w:val="00793FE8"/>
    <w:rsid w:val="00795B80"/>
    <w:rsid w:val="007A05DD"/>
    <w:rsid w:val="007B60E2"/>
    <w:rsid w:val="007B6E25"/>
    <w:rsid w:val="007C51E7"/>
    <w:rsid w:val="007D2979"/>
    <w:rsid w:val="007E5F5A"/>
    <w:rsid w:val="007F23C2"/>
    <w:rsid w:val="007F33FE"/>
    <w:rsid w:val="00806A57"/>
    <w:rsid w:val="00820066"/>
    <w:rsid w:val="00822B81"/>
    <w:rsid w:val="008236CA"/>
    <w:rsid w:val="0082729E"/>
    <w:rsid w:val="00837044"/>
    <w:rsid w:val="00841079"/>
    <w:rsid w:val="00842ECE"/>
    <w:rsid w:val="008500C3"/>
    <w:rsid w:val="00860B20"/>
    <w:rsid w:val="00862ABC"/>
    <w:rsid w:val="00863BBE"/>
    <w:rsid w:val="008658E1"/>
    <w:rsid w:val="0086697D"/>
    <w:rsid w:val="00866B02"/>
    <w:rsid w:val="008731E0"/>
    <w:rsid w:val="008735AE"/>
    <w:rsid w:val="00874EF5"/>
    <w:rsid w:val="00876BD3"/>
    <w:rsid w:val="008808E1"/>
    <w:rsid w:val="00882D75"/>
    <w:rsid w:val="008866E3"/>
    <w:rsid w:val="008866EA"/>
    <w:rsid w:val="00887EE2"/>
    <w:rsid w:val="008A3337"/>
    <w:rsid w:val="008B0564"/>
    <w:rsid w:val="008B26CC"/>
    <w:rsid w:val="008B2B54"/>
    <w:rsid w:val="008B51BF"/>
    <w:rsid w:val="008C0AFC"/>
    <w:rsid w:val="008C602B"/>
    <w:rsid w:val="008D09F3"/>
    <w:rsid w:val="008F6739"/>
    <w:rsid w:val="008F736E"/>
    <w:rsid w:val="0090638D"/>
    <w:rsid w:val="00906577"/>
    <w:rsid w:val="00912C0E"/>
    <w:rsid w:val="00913F9F"/>
    <w:rsid w:val="00915A8E"/>
    <w:rsid w:val="00927C77"/>
    <w:rsid w:val="009408E9"/>
    <w:rsid w:val="00960707"/>
    <w:rsid w:val="00961E61"/>
    <w:rsid w:val="0096332A"/>
    <w:rsid w:val="00972775"/>
    <w:rsid w:val="009747EE"/>
    <w:rsid w:val="009A0805"/>
    <w:rsid w:val="009A1F84"/>
    <w:rsid w:val="009A76D5"/>
    <w:rsid w:val="009B6A13"/>
    <w:rsid w:val="009C4F4C"/>
    <w:rsid w:val="009C7D3B"/>
    <w:rsid w:val="009D02A3"/>
    <w:rsid w:val="009D0CBA"/>
    <w:rsid w:val="009D5191"/>
    <w:rsid w:val="009D7059"/>
    <w:rsid w:val="009E36E5"/>
    <w:rsid w:val="009F0104"/>
    <w:rsid w:val="009F0271"/>
    <w:rsid w:val="009F08B7"/>
    <w:rsid w:val="009F2C13"/>
    <w:rsid w:val="00A07C3C"/>
    <w:rsid w:val="00A10203"/>
    <w:rsid w:val="00A12319"/>
    <w:rsid w:val="00A139D8"/>
    <w:rsid w:val="00A16532"/>
    <w:rsid w:val="00A23C24"/>
    <w:rsid w:val="00A27D3C"/>
    <w:rsid w:val="00A316AD"/>
    <w:rsid w:val="00A3239D"/>
    <w:rsid w:val="00A44807"/>
    <w:rsid w:val="00A45E5C"/>
    <w:rsid w:val="00A61BC6"/>
    <w:rsid w:val="00A739F7"/>
    <w:rsid w:val="00A7798D"/>
    <w:rsid w:val="00A841DC"/>
    <w:rsid w:val="00A8537F"/>
    <w:rsid w:val="00A912E3"/>
    <w:rsid w:val="00A96D80"/>
    <w:rsid w:val="00AA0C73"/>
    <w:rsid w:val="00AA3E1C"/>
    <w:rsid w:val="00AB06F5"/>
    <w:rsid w:val="00AC4661"/>
    <w:rsid w:val="00AD2333"/>
    <w:rsid w:val="00AD61F0"/>
    <w:rsid w:val="00AE1B73"/>
    <w:rsid w:val="00AE3974"/>
    <w:rsid w:val="00AF0510"/>
    <w:rsid w:val="00AF4C77"/>
    <w:rsid w:val="00AF5253"/>
    <w:rsid w:val="00AF65D2"/>
    <w:rsid w:val="00B12CBE"/>
    <w:rsid w:val="00B15696"/>
    <w:rsid w:val="00B17EA2"/>
    <w:rsid w:val="00B21B66"/>
    <w:rsid w:val="00B3701F"/>
    <w:rsid w:val="00B41565"/>
    <w:rsid w:val="00B566B1"/>
    <w:rsid w:val="00B572E2"/>
    <w:rsid w:val="00B634F7"/>
    <w:rsid w:val="00B72CA3"/>
    <w:rsid w:val="00B75B51"/>
    <w:rsid w:val="00B81583"/>
    <w:rsid w:val="00B93754"/>
    <w:rsid w:val="00B93B91"/>
    <w:rsid w:val="00BA1824"/>
    <w:rsid w:val="00BA2194"/>
    <w:rsid w:val="00BA41AD"/>
    <w:rsid w:val="00BB0427"/>
    <w:rsid w:val="00BC134C"/>
    <w:rsid w:val="00BC14D0"/>
    <w:rsid w:val="00BC4E58"/>
    <w:rsid w:val="00BC655B"/>
    <w:rsid w:val="00BC660E"/>
    <w:rsid w:val="00BC735B"/>
    <w:rsid w:val="00BD6BB8"/>
    <w:rsid w:val="00BF2EAD"/>
    <w:rsid w:val="00BF38B2"/>
    <w:rsid w:val="00BF4601"/>
    <w:rsid w:val="00BF6D7D"/>
    <w:rsid w:val="00C02396"/>
    <w:rsid w:val="00C0401C"/>
    <w:rsid w:val="00C07C0E"/>
    <w:rsid w:val="00C10CD3"/>
    <w:rsid w:val="00C112F4"/>
    <w:rsid w:val="00C2284C"/>
    <w:rsid w:val="00C258BA"/>
    <w:rsid w:val="00C40F10"/>
    <w:rsid w:val="00C454EC"/>
    <w:rsid w:val="00C45816"/>
    <w:rsid w:val="00C471BB"/>
    <w:rsid w:val="00C52DC4"/>
    <w:rsid w:val="00C5684F"/>
    <w:rsid w:val="00C656EE"/>
    <w:rsid w:val="00C66FEE"/>
    <w:rsid w:val="00C72093"/>
    <w:rsid w:val="00C81761"/>
    <w:rsid w:val="00CA3036"/>
    <w:rsid w:val="00CA316B"/>
    <w:rsid w:val="00CB6451"/>
    <w:rsid w:val="00CB653F"/>
    <w:rsid w:val="00CB7CD0"/>
    <w:rsid w:val="00CB7D8B"/>
    <w:rsid w:val="00CC4102"/>
    <w:rsid w:val="00CC624F"/>
    <w:rsid w:val="00CC728D"/>
    <w:rsid w:val="00CD769E"/>
    <w:rsid w:val="00CD7F4A"/>
    <w:rsid w:val="00CE1A81"/>
    <w:rsid w:val="00CE2078"/>
    <w:rsid w:val="00D018AF"/>
    <w:rsid w:val="00D0349C"/>
    <w:rsid w:val="00D13A25"/>
    <w:rsid w:val="00D20215"/>
    <w:rsid w:val="00D20613"/>
    <w:rsid w:val="00D2798A"/>
    <w:rsid w:val="00D33D16"/>
    <w:rsid w:val="00D3507A"/>
    <w:rsid w:val="00D66A08"/>
    <w:rsid w:val="00D67F82"/>
    <w:rsid w:val="00D70471"/>
    <w:rsid w:val="00D705BA"/>
    <w:rsid w:val="00D842AE"/>
    <w:rsid w:val="00D87D9D"/>
    <w:rsid w:val="00D978A1"/>
    <w:rsid w:val="00DB081A"/>
    <w:rsid w:val="00DC03CA"/>
    <w:rsid w:val="00DC0A76"/>
    <w:rsid w:val="00DC4030"/>
    <w:rsid w:val="00DD37E9"/>
    <w:rsid w:val="00DD5E56"/>
    <w:rsid w:val="00DE20A6"/>
    <w:rsid w:val="00DE41D0"/>
    <w:rsid w:val="00DF332D"/>
    <w:rsid w:val="00E07BD3"/>
    <w:rsid w:val="00E163C4"/>
    <w:rsid w:val="00E163E1"/>
    <w:rsid w:val="00E2430B"/>
    <w:rsid w:val="00E24F23"/>
    <w:rsid w:val="00E26305"/>
    <w:rsid w:val="00E3058E"/>
    <w:rsid w:val="00E31E54"/>
    <w:rsid w:val="00E35ABD"/>
    <w:rsid w:val="00E543F4"/>
    <w:rsid w:val="00E609B4"/>
    <w:rsid w:val="00E762D1"/>
    <w:rsid w:val="00E7741A"/>
    <w:rsid w:val="00E8179B"/>
    <w:rsid w:val="00E82B22"/>
    <w:rsid w:val="00E8536C"/>
    <w:rsid w:val="00EA4220"/>
    <w:rsid w:val="00EB0B52"/>
    <w:rsid w:val="00EB6C89"/>
    <w:rsid w:val="00ED477B"/>
    <w:rsid w:val="00ED6B69"/>
    <w:rsid w:val="00EE24C8"/>
    <w:rsid w:val="00EF42F1"/>
    <w:rsid w:val="00F0344B"/>
    <w:rsid w:val="00F03DE4"/>
    <w:rsid w:val="00F10E13"/>
    <w:rsid w:val="00F10FDE"/>
    <w:rsid w:val="00F14403"/>
    <w:rsid w:val="00F14DFD"/>
    <w:rsid w:val="00F14F25"/>
    <w:rsid w:val="00F2196F"/>
    <w:rsid w:val="00F21CB9"/>
    <w:rsid w:val="00F23CDB"/>
    <w:rsid w:val="00F26562"/>
    <w:rsid w:val="00F278EE"/>
    <w:rsid w:val="00F30F13"/>
    <w:rsid w:val="00F32668"/>
    <w:rsid w:val="00F378C3"/>
    <w:rsid w:val="00F408BA"/>
    <w:rsid w:val="00F424DA"/>
    <w:rsid w:val="00F46D08"/>
    <w:rsid w:val="00F47FCB"/>
    <w:rsid w:val="00F524AA"/>
    <w:rsid w:val="00F62559"/>
    <w:rsid w:val="00F66556"/>
    <w:rsid w:val="00F67468"/>
    <w:rsid w:val="00F80FE8"/>
    <w:rsid w:val="00F82017"/>
    <w:rsid w:val="00F82F7F"/>
    <w:rsid w:val="00F92FED"/>
    <w:rsid w:val="00FA13CF"/>
    <w:rsid w:val="00FA36D7"/>
    <w:rsid w:val="00FB0303"/>
    <w:rsid w:val="00FB2E05"/>
    <w:rsid w:val="00FB5395"/>
    <w:rsid w:val="00FB62ED"/>
    <w:rsid w:val="00FB7E9E"/>
    <w:rsid w:val="00FC1DD7"/>
    <w:rsid w:val="00FC6260"/>
    <w:rsid w:val="00FD0650"/>
    <w:rsid w:val="00FD121D"/>
    <w:rsid w:val="00FD2192"/>
    <w:rsid w:val="00FD5D1F"/>
    <w:rsid w:val="00FD79FE"/>
    <w:rsid w:val="00FD7C56"/>
    <w:rsid w:val="00FE10D3"/>
    <w:rsid w:val="00FE26BA"/>
    <w:rsid w:val="00FE2E52"/>
    <w:rsid w:val="00FE32C4"/>
    <w:rsid w:val="00FF2BFC"/>
    <w:rsid w:val="00FF2FFB"/>
    <w:rsid w:val="00FF7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1A81"/>
    <w:pPr>
      <w:spacing w:before="120" w:after="120" w:line="276" w:lineRule="auto"/>
      <w:ind w:firstLine="851"/>
      <w:contextualSpacing/>
      <w:jc w:val="both"/>
    </w:pPr>
    <w:rPr>
      <w:rFonts w:ascii="Tahoma" w:hAnsi="Tahoma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D486E"/>
    <w:pPr>
      <w:keepNext/>
      <w:numPr>
        <w:numId w:val="15"/>
      </w:numPr>
      <w:spacing w:before="240" w:line="240" w:lineRule="auto"/>
      <w:jc w:val="left"/>
      <w:outlineLvl w:val="0"/>
    </w:pPr>
    <w:rPr>
      <w:rFonts w:eastAsia="Times New Roman"/>
      <w:b/>
      <w:bCs/>
      <w:caps/>
      <w:kern w:val="32"/>
      <w:sz w:val="28"/>
      <w:szCs w:val="32"/>
    </w:rPr>
  </w:style>
  <w:style w:type="paragraph" w:styleId="Nadpis2">
    <w:name w:val="heading 2"/>
    <w:basedOn w:val="Normln"/>
    <w:link w:val="Nadpis2Char"/>
    <w:uiPriority w:val="9"/>
    <w:qFormat/>
    <w:rsid w:val="00791D82"/>
    <w:pPr>
      <w:numPr>
        <w:ilvl w:val="1"/>
        <w:numId w:val="15"/>
      </w:numPr>
      <w:spacing w:line="240" w:lineRule="auto"/>
      <w:outlineLvl w:val="1"/>
    </w:pPr>
    <w:rPr>
      <w:rFonts w:eastAsia="Times New Roman"/>
      <w:b/>
      <w:bCs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1D82"/>
    <w:pPr>
      <w:keepNext/>
      <w:numPr>
        <w:ilvl w:val="2"/>
        <w:numId w:val="15"/>
      </w:numPr>
      <w:spacing w:line="240" w:lineRule="auto"/>
      <w:outlineLvl w:val="2"/>
    </w:pPr>
    <w:rPr>
      <w:rFonts w:eastAsia="Times New Roman"/>
      <w:bCs/>
      <w:i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A13CF"/>
    <w:pPr>
      <w:keepNext/>
      <w:numPr>
        <w:ilvl w:val="3"/>
        <w:numId w:val="15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13CF"/>
    <w:pPr>
      <w:numPr>
        <w:ilvl w:val="4"/>
        <w:numId w:val="15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13CF"/>
    <w:pPr>
      <w:numPr>
        <w:ilvl w:val="5"/>
        <w:numId w:val="15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A13CF"/>
    <w:pPr>
      <w:numPr>
        <w:ilvl w:val="6"/>
        <w:numId w:val="15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A13CF"/>
    <w:pPr>
      <w:numPr>
        <w:ilvl w:val="7"/>
        <w:numId w:val="15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13CF"/>
    <w:pPr>
      <w:numPr>
        <w:ilvl w:val="8"/>
        <w:numId w:val="15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6FEE"/>
    <w:pPr>
      <w:ind w:left="720"/>
    </w:pPr>
  </w:style>
  <w:style w:type="character" w:customStyle="1" w:styleId="Nadpis1Char">
    <w:name w:val="Nadpis 1 Char"/>
    <w:link w:val="Nadpis1"/>
    <w:uiPriority w:val="9"/>
    <w:rsid w:val="005D486E"/>
    <w:rPr>
      <w:rFonts w:ascii="Tahoma" w:eastAsia="Times New Roman" w:hAnsi="Tahoma"/>
      <w:b/>
      <w:bCs/>
      <w:caps/>
      <w:kern w:val="32"/>
      <w:sz w:val="28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91D82"/>
    <w:rPr>
      <w:rFonts w:ascii="Tahoma" w:eastAsia="Times New Roman" w:hAnsi="Tahoma"/>
      <w:b/>
      <w:bCs/>
      <w:sz w:val="22"/>
      <w:szCs w:val="36"/>
    </w:rPr>
  </w:style>
  <w:style w:type="paragraph" w:customStyle="1" w:styleId="textnormy">
    <w:name w:val="text_normy"/>
    <w:basedOn w:val="Normln"/>
    <w:rsid w:val="00B63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B634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B6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B6451"/>
    <w:rPr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B645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B6451"/>
    <w:rPr>
      <w:szCs w:val="22"/>
      <w:lang w:eastAsia="en-US"/>
    </w:rPr>
  </w:style>
  <w:style w:type="table" w:styleId="Mkatabulky">
    <w:name w:val="Table Grid"/>
    <w:basedOn w:val="Normlntabulka"/>
    <w:uiPriority w:val="59"/>
    <w:rsid w:val="00770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">
    <w:name w:val="Odstavec"/>
    <w:basedOn w:val="Normln"/>
    <w:rsid w:val="006105B7"/>
    <w:pPr>
      <w:widowControl w:val="0"/>
      <w:autoSpaceDE w:val="0"/>
      <w:autoSpaceDN w:val="0"/>
      <w:adjustRightInd w:val="0"/>
      <w:spacing w:after="0" w:line="240" w:lineRule="auto"/>
      <w:ind w:firstLine="48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11F07"/>
    <w:rPr>
      <w:i/>
      <w:sz w:val="16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4C04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040C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C040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04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C040C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040C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C040C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38509C"/>
    <w:rPr>
      <w:szCs w:val="22"/>
      <w:lang w:eastAsia="en-US"/>
    </w:rPr>
  </w:style>
  <w:style w:type="paragraph" w:customStyle="1" w:styleId="l0">
    <w:name w:val="l0"/>
    <w:basedOn w:val="Normln"/>
    <w:rsid w:val="003C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Standard">
    <w:name w:val="Standard"/>
    <w:rsid w:val="006B5A7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Default">
    <w:name w:val="Default"/>
    <w:rsid w:val="00066879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Nadpis3Char">
    <w:name w:val="Nadpis 3 Char"/>
    <w:link w:val="Nadpis3"/>
    <w:uiPriority w:val="9"/>
    <w:rsid w:val="00791D82"/>
    <w:rPr>
      <w:rFonts w:ascii="Tahoma" w:eastAsia="Times New Roman" w:hAnsi="Tahoma"/>
      <w:bCs/>
      <w:i/>
      <w:sz w:val="22"/>
      <w:szCs w:val="26"/>
      <w:lang w:eastAsia="en-US"/>
    </w:rPr>
  </w:style>
  <w:style w:type="character" w:customStyle="1" w:styleId="Nadpis4Char">
    <w:name w:val="Nadpis 4 Char"/>
    <w:link w:val="Nadpis4"/>
    <w:uiPriority w:val="9"/>
    <w:rsid w:val="00FA13CF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FA13CF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FA13CF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FA13CF"/>
    <w:rPr>
      <w:rFonts w:ascii="Calibri" w:eastAsia="Times New Roman" w:hAnsi="Calibri"/>
      <w:sz w:val="22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FA13CF"/>
    <w:rPr>
      <w:rFonts w:ascii="Calibri" w:eastAsia="Times New Roman" w:hAnsi="Calibri"/>
      <w:i/>
      <w:iCs/>
      <w:sz w:val="22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FA13CF"/>
    <w:rPr>
      <w:rFonts w:ascii="Calibri Light" w:eastAsia="Times New Roman" w:hAnsi="Calibri Light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B36C0"/>
    <w:pPr>
      <w:jc w:val="left"/>
    </w:pPr>
    <w:rPr>
      <w:rFonts w:ascii="Calibri" w:hAnsi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6B36C0"/>
    <w:pPr>
      <w:spacing w:before="0" w:after="0"/>
      <w:ind w:left="240"/>
      <w:jc w:val="left"/>
    </w:pPr>
    <w:rPr>
      <w:rFonts w:ascii="Calibri" w:hAnsi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B36C0"/>
    <w:pPr>
      <w:spacing w:before="0" w:after="0"/>
      <w:ind w:left="480"/>
      <w:jc w:val="left"/>
    </w:pPr>
    <w:rPr>
      <w:rFonts w:ascii="Calibri" w:hAnsi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6B36C0"/>
    <w:pPr>
      <w:spacing w:before="0" w:after="0"/>
      <w:ind w:left="720"/>
      <w:jc w:val="left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6B36C0"/>
    <w:pPr>
      <w:spacing w:before="0" w:after="0"/>
      <w:ind w:left="960"/>
      <w:jc w:val="left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6B36C0"/>
    <w:pPr>
      <w:spacing w:before="0" w:after="0"/>
      <w:ind w:left="1200"/>
      <w:jc w:val="left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6B36C0"/>
    <w:pPr>
      <w:spacing w:before="0" w:after="0"/>
      <w:ind w:left="1440"/>
      <w:jc w:val="left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6B36C0"/>
    <w:pPr>
      <w:spacing w:before="0" w:after="0"/>
      <w:ind w:left="1680"/>
      <w:jc w:val="left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6B36C0"/>
    <w:pPr>
      <w:spacing w:before="0" w:after="0"/>
      <w:ind w:left="1920"/>
      <w:jc w:val="left"/>
    </w:pPr>
    <w:rPr>
      <w:rFonts w:ascii="Calibri" w:hAnsi="Calibri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4C3179"/>
    <w:pPr>
      <w:ind w:firstLine="567"/>
    </w:pPr>
    <w:rPr>
      <w:rFonts w:ascii="Arial Narrow" w:eastAsia="Times New Roman" w:hAnsi="Arial Narrow"/>
      <w:sz w:val="24"/>
      <w:szCs w:val="24"/>
      <w:lang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C3179"/>
    <w:rPr>
      <w:rFonts w:ascii="Arial Narrow" w:eastAsia="Times New Roman" w:hAnsi="Arial Narrow"/>
      <w:sz w:val="24"/>
      <w:szCs w:val="24"/>
      <w:lang/>
    </w:rPr>
  </w:style>
  <w:style w:type="paragraph" w:styleId="Seznamsodrkami">
    <w:name w:val="List Bullet"/>
    <w:basedOn w:val="Normln"/>
    <w:autoRedefine/>
    <w:uiPriority w:val="99"/>
    <w:rsid w:val="004C3179"/>
    <w:pPr>
      <w:numPr>
        <w:numId w:val="20"/>
      </w:numPr>
      <w:tabs>
        <w:tab w:val="clear" w:pos="720"/>
        <w:tab w:val="num" w:pos="927"/>
      </w:tabs>
      <w:ind w:left="360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Znaka1">
    <w:name w:val="Znaèka 1"/>
    <w:basedOn w:val="Normln"/>
    <w:rsid w:val="004C3179"/>
    <w:pPr>
      <w:spacing w:before="85" w:after="0" w:line="240" w:lineRule="auto"/>
      <w:ind w:firstLine="680"/>
    </w:pPr>
    <w:rPr>
      <w:rFonts w:ascii="TimesE" w:eastAsia="Times New Roman" w:hAnsi="TimesE"/>
      <w:sz w:val="24"/>
      <w:szCs w:val="20"/>
      <w:lang w:eastAsia="cs-CZ"/>
    </w:rPr>
  </w:style>
  <w:style w:type="paragraph" w:customStyle="1" w:styleId="Normln-ods">
    <w:name w:val="Normální-ods"/>
    <w:basedOn w:val="Normln"/>
    <w:rsid w:val="004C3179"/>
    <w:pPr>
      <w:numPr>
        <w:ilvl w:val="1"/>
        <w:numId w:val="22"/>
      </w:numPr>
      <w:spacing w:before="0" w:after="0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ka">
    <w:name w:val="Øádka"/>
    <w:basedOn w:val="Normln"/>
    <w:rsid w:val="006368D9"/>
    <w:pPr>
      <w:spacing w:before="0" w:after="0" w:line="240" w:lineRule="auto"/>
      <w:ind w:firstLine="0"/>
      <w:contextualSpacing w:val="0"/>
    </w:pPr>
    <w:rPr>
      <w:rFonts w:ascii="Arial" w:eastAsia="Times New Roman" w:hAnsi="Arial"/>
      <w:sz w:val="24"/>
      <w:szCs w:val="20"/>
      <w:lang w:eastAsia="cs-CZ"/>
    </w:rPr>
  </w:style>
  <w:style w:type="paragraph" w:styleId="Nzev">
    <w:name w:val="Title"/>
    <w:basedOn w:val="Normln"/>
    <w:link w:val="NzevChar"/>
    <w:autoRedefine/>
    <w:qFormat/>
    <w:rsid w:val="00BC134C"/>
    <w:pPr>
      <w:spacing w:before="0" w:after="0" w:line="360" w:lineRule="auto"/>
      <w:ind w:firstLine="284"/>
      <w:contextualSpacing w:val="0"/>
    </w:pPr>
    <w:rPr>
      <w:rFonts w:ascii="Arial" w:eastAsia="Times New Roman" w:hAnsi="Arial"/>
      <w:snapToGrid w:val="0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BC134C"/>
    <w:rPr>
      <w:rFonts w:eastAsia="Times New Roman"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1A81"/>
    <w:pPr>
      <w:spacing w:before="120" w:after="120" w:line="276" w:lineRule="auto"/>
      <w:ind w:firstLine="851"/>
      <w:contextualSpacing/>
      <w:jc w:val="both"/>
    </w:pPr>
    <w:rPr>
      <w:rFonts w:ascii="Tahoma" w:hAnsi="Tahoma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D486E"/>
    <w:pPr>
      <w:keepNext/>
      <w:numPr>
        <w:numId w:val="15"/>
      </w:numPr>
      <w:spacing w:before="240" w:line="240" w:lineRule="auto"/>
      <w:jc w:val="left"/>
      <w:outlineLvl w:val="0"/>
    </w:pPr>
    <w:rPr>
      <w:rFonts w:eastAsia="Times New Roman"/>
      <w:b/>
      <w:bCs/>
      <w:caps/>
      <w:kern w:val="32"/>
      <w:sz w:val="28"/>
      <w:szCs w:val="32"/>
    </w:rPr>
  </w:style>
  <w:style w:type="paragraph" w:styleId="Nadpis2">
    <w:name w:val="heading 2"/>
    <w:basedOn w:val="Normln"/>
    <w:link w:val="Nadpis2Char"/>
    <w:uiPriority w:val="9"/>
    <w:qFormat/>
    <w:rsid w:val="00791D82"/>
    <w:pPr>
      <w:numPr>
        <w:ilvl w:val="1"/>
        <w:numId w:val="15"/>
      </w:numPr>
      <w:spacing w:line="240" w:lineRule="auto"/>
      <w:outlineLvl w:val="1"/>
    </w:pPr>
    <w:rPr>
      <w:rFonts w:eastAsia="Times New Roman"/>
      <w:b/>
      <w:bCs/>
      <w:szCs w:val="3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1D82"/>
    <w:pPr>
      <w:keepNext/>
      <w:numPr>
        <w:ilvl w:val="2"/>
        <w:numId w:val="15"/>
      </w:numPr>
      <w:spacing w:line="240" w:lineRule="auto"/>
      <w:outlineLvl w:val="2"/>
    </w:pPr>
    <w:rPr>
      <w:rFonts w:eastAsia="Times New Roman"/>
      <w:bCs/>
      <w:i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FA13CF"/>
    <w:pPr>
      <w:keepNext/>
      <w:numPr>
        <w:ilvl w:val="3"/>
        <w:numId w:val="15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A13CF"/>
    <w:pPr>
      <w:numPr>
        <w:ilvl w:val="4"/>
        <w:numId w:val="15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A13CF"/>
    <w:pPr>
      <w:numPr>
        <w:ilvl w:val="5"/>
        <w:numId w:val="15"/>
      </w:num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A13CF"/>
    <w:pPr>
      <w:numPr>
        <w:ilvl w:val="6"/>
        <w:numId w:val="15"/>
      </w:numPr>
      <w:spacing w:before="240" w:after="60"/>
      <w:outlineLvl w:val="6"/>
    </w:pPr>
    <w:rPr>
      <w:rFonts w:ascii="Calibri" w:eastAsia="Times New Roman" w:hAnsi="Calibri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A13CF"/>
    <w:pPr>
      <w:numPr>
        <w:ilvl w:val="7"/>
        <w:numId w:val="15"/>
      </w:numPr>
      <w:spacing w:before="240" w:after="60"/>
      <w:outlineLvl w:val="7"/>
    </w:pPr>
    <w:rPr>
      <w:rFonts w:ascii="Calibri" w:eastAsia="Times New Roman" w:hAnsi="Calibri"/>
      <w:i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A13CF"/>
    <w:pPr>
      <w:numPr>
        <w:ilvl w:val="8"/>
        <w:numId w:val="15"/>
      </w:num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6FEE"/>
    <w:pPr>
      <w:ind w:left="720"/>
    </w:pPr>
  </w:style>
  <w:style w:type="character" w:customStyle="1" w:styleId="Nadpis1Char">
    <w:name w:val="Nadpis 1 Char"/>
    <w:link w:val="Nadpis1"/>
    <w:uiPriority w:val="9"/>
    <w:rsid w:val="005D486E"/>
    <w:rPr>
      <w:rFonts w:ascii="Tahoma" w:eastAsia="Times New Roman" w:hAnsi="Tahoma"/>
      <w:b/>
      <w:bCs/>
      <w:caps/>
      <w:kern w:val="32"/>
      <w:sz w:val="28"/>
      <w:szCs w:val="32"/>
      <w:lang w:eastAsia="en-US"/>
    </w:rPr>
  </w:style>
  <w:style w:type="character" w:customStyle="1" w:styleId="Nadpis2Char">
    <w:name w:val="Nadpis 2 Char"/>
    <w:link w:val="Nadpis2"/>
    <w:uiPriority w:val="9"/>
    <w:rsid w:val="00791D82"/>
    <w:rPr>
      <w:rFonts w:ascii="Tahoma" w:eastAsia="Times New Roman" w:hAnsi="Tahoma"/>
      <w:b/>
      <w:bCs/>
      <w:sz w:val="22"/>
      <w:szCs w:val="36"/>
    </w:rPr>
  </w:style>
  <w:style w:type="paragraph" w:customStyle="1" w:styleId="textnormy">
    <w:name w:val="text_normy"/>
    <w:basedOn w:val="Normln"/>
    <w:rsid w:val="00B634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B634F7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B6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B6451"/>
    <w:rPr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B6451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CB6451"/>
    <w:rPr>
      <w:szCs w:val="22"/>
      <w:lang w:eastAsia="en-US"/>
    </w:rPr>
  </w:style>
  <w:style w:type="table" w:styleId="Mkatabulky">
    <w:name w:val="Table Grid"/>
    <w:basedOn w:val="Normlntabulka"/>
    <w:uiPriority w:val="59"/>
    <w:rsid w:val="00770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">
    <w:name w:val="Odstavec"/>
    <w:basedOn w:val="Normln"/>
    <w:rsid w:val="006105B7"/>
    <w:pPr>
      <w:widowControl w:val="0"/>
      <w:autoSpaceDE w:val="0"/>
      <w:autoSpaceDN w:val="0"/>
      <w:adjustRightInd w:val="0"/>
      <w:spacing w:after="0" w:line="240" w:lineRule="auto"/>
      <w:ind w:firstLine="480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611F07"/>
    <w:rPr>
      <w:i/>
      <w:sz w:val="16"/>
      <w:szCs w:val="22"/>
      <w:lang w:eastAsia="en-US"/>
    </w:rPr>
  </w:style>
  <w:style w:type="character" w:styleId="Odkaznakoment">
    <w:name w:val="annotation reference"/>
    <w:uiPriority w:val="99"/>
    <w:semiHidden/>
    <w:unhideWhenUsed/>
    <w:rsid w:val="004C04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040C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C040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040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C040C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040C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C040C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38509C"/>
    <w:rPr>
      <w:szCs w:val="22"/>
      <w:lang w:eastAsia="en-US"/>
    </w:rPr>
  </w:style>
  <w:style w:type="paragraph" w:customStyle="1" w:styleId="l0">
    <w:name w:val="l0"/>
    <w:basedOn w:val="Normln"/>
    <w:rsid w:val="003C5F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Standard">
    <w:name w:val="Standard"/>
    <w:rsid w:val="006B5A7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Default">
    <w:name w:val="Default"/>
    <w:rsid w:val="00066879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Nadpis3Char">
    <w:name w:val="Nadpis 3 Char"/>
    <w:link w:val="Nadpis3"/>
    <w:uiPriority w:val="9"/>
    <w:rsid w:val="00791D82"/>
    <w:rPr>
      <w:rFonts w:ascii="Tahoma" w:eastAsia="Times New Roman" w:hAnsi="Tahoma"/>
      <w:bCs/>
      <w:i/>
      <w:sz w:val="22"/>
      <w:szCs w:val="26"/>
      <w:lang w:eastAsia="en-US"/>
    </w:rPr>
  </w:style>
  <w:style w:type="character" w:customStyle="1" w:styleId="Nadpis4Char">
    <w:name w:val="Nadpis 4 Char"/>
    <w:link w:val="Nadpis4"/>
    <w:uiPriority w:val="9"/>
    <w:rsid w:val="00FA13CF"/>
    <w:rPr>
      <w:rFonts w:ascii="Calibri" w:eastAsia="Times New Roman" w:hAnsi="Calibri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FA13CF"/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FA13CF"/>
    <w:rPr>
      <w:rFonts w:ascii="Calibri" w:eastAsia="Times New Roman" w:hAnsi="Calibri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uiPriority w:val="9"/>
    <w:semiHidden/>
    <w:rsid w:val="00FA13CF"/>
    <w:rPr>
      <w:rFonts w:ascii="Calibri" w:eastAsia="Times New Roman" w:hAnsi="Calibri"/>
      <w:sz w:val="22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FA13CF"/>
    <w:rPr>
      <w:rFonts w:ascii="Calibri" w:eastAsia="Times New Roman" w:hAnsi="Calibri"/>
      <w:i/>
      <w:iCs/>
      <w:sz w:val="22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FA13CF"/>
    <w:rPr>
      <w:rFonts w:ascii="Calibri Light" w:eastAsia="Times New Roman" w:hAnsi="Calibri Light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6B36C0"/>
    <w:pPr>
      <w:jc w:val="left"/>
    </w:pPr>
    <w:rPr>
      <w:rFonts w:ascii="Calibri" w:hAnsi="Calibri"/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6B36C0"/>
    <w:pPr>
      <w:spacing w:before="0" w:after="0"/>
      <w:ind w:left="240"/>
      <w:jc w:val="left"/>
    </w:pPr>
    <w:rPr>
      <w:rFonts w:ascii="Calibri" w:hAnsi="Calibri"/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B36C0"/>
    <w:pPr>
      <w:spacing w:before="0" w:after="0"/>
      <w:ind w:left="480"/>
      <w:jc w:val="left"/>
    </w:pPr>
    <w:rPr>
      <w:rFonts w:ascii="Calibri" w:hAnsi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6B36C0"/>
    <w:pPr>
      <w:spacing w:before="0" w:after="0"/>
      <w:ind w:left="720"/>
      <w:jc w:val="left"/>
    </w:pPr>
    <w:rPr>
      <w:rFonts w:ascii="Calibri" w:hAnsi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6B36C0"/>
    <w:pPr>
      <w:spacing w:before="0" w:after="0"/>
      <w:ind w:left="960"/>
      <w:jc w:val="left"/>
    </w:pPr>
    <w:rPr>
      <w:rFonts w:ascii="Calibri" w:hAnsi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6B36C0"/>
    <w:pPr>
      <w:spacing w:before="0" w:after="0"/>
      <w:ind w:left="1200"/>
      <w:jc w:val="left"/>
    </w:pPr>
    <w:rPr>
      <w:rFonts w:ascii="Calibri" w:hAnsi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6B36C0"/>
    <w:pPr>
      <w:spacing w:before="0" w:after="0"/>
      <w:ind w:left="1440"/>
      <w:jc w:val="left"/>
    </w:pPr>
    <w:rPr>
      <w:rFonts w:ascii="Calibri" w:hAnsi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6B36C0"/>
    <w:pPr>
      <w:spacing w:before="0" w:after="0"/>
      <w:ind w:left="1680"/>
      <w:jc w:val="left"/>
    </w:pPr>
    <w:rPr>
      <w:rFonts w:ascii="Calibri" w:hAnsi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6B36C0"/>
    <w:pPr>
      <w:spacing w:before="0" w:after="0"/>
      <w:ind w:left="1920"/>
      <w:jc w:val="left"/>
    </w:pPr>
    <w:rPr>
      <w:rFonts w:ascii="Calibri" w:hAnsi="Calibri"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4C3179"/>
    <w:pPr>
      <w:ind w:firstLine="567"/>
    </w:pPr>
    <w:rPr>
      <w:rFonts w:ascii="Arial Narrow" w:eastAsia="Times New Roman" w:hAnsi="Arial Narrow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C3179"/>
    <w:rPr>
      <w:rFonts w:ascii="Arial Narrow" w:eastAsia="Times New Roman" w:hAnsi="Arial Narrow"/>
      <w:sz w:val="24"/>
      <w:szCs w:val="24"/>
      <w:lang w:val="x-none" w:eastAsia="x-none"/>
    </w:rPr>
  </w:style>
  <w:style w:type="paragraph" w:styleId="Seznamsodrkami">
    <w:name w:val="List Bullet"/>
    <w:basedOn w:val="Normln"/>
    <w:autoRedefine/>
    <w:uiPriority w:val="99"/>
    <w:rsid w:val="004C3179"/>
    <w:pPr>
      <w:numPr>
        <w:numId w:val="20"/>
      </w:numPr>
      <w:tabs>
        <w:tab w:val="clear" w:pos="720"/>
        <w:tab w:val="num" w:pos="927"/>
      </w:tabs>
      <w:ind w:left="360"/>
    </w:pPr>
    <w:rPr>
      <w:rFonts w:ascii="Times New Roman" w:eastAsia="Times New Roman" w:hAnsi="Times New Roman"/>
      <w:sz w:val="20"/>
      <w:szCs w:val="20"/>
      <w:lang w:eastAsia="cs-CZ"/>
    </w:rPr>
  </w:style>
  <w:style w:type="paragraph" w:customStyle="1" w:styleId="Znaka1">
    <w:name w:val="Znaèka 1"/>
    <w:basedOn w:val="Normln"/>
    <w:rsid w:val="004C3179"/>
    <w:pPr>
      <w:spacing w:before="85" w:after="0" w:line="240" w:lineRule="auto"/>
      <w:ind w:firstLine="680"/>
    </w:pPr>
    <w:rPr>
      <w:rFonts w:ascii="TimesE" w:eastAsia="Times New Roman" w:hAnsi="TimesE"/>
      <w:sz w:val="24"/>
      <w:szCs w:val="20"/>
      <w:lang w:eastAsia="cs-CZ"/>
    </w:rPr>
  </w:style>
  <w:style w:type="paragraph" w:customStyle="1" w:styleId="Normln-ods">
    <w:name w:val="Normální-ods"/>
    <w:basedOn w:val="Normln"/>
    <w:rsid w:val="004C3179"/>
    <w:pPr>
      <w:numPr>
        <w:ilvl w:val="1"/>
        <w:numId w:val="22"/>
      </w:numPr>
      <w:spacing w:before="0" w:after="0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dka">
    <w:name w:val="Øádka"/>
    <w:basedOn w:val="Normln"/>
    <w:rsid w:val="006368D9"/>
    <w:pPr>
      <w:spacing w:before="0" w:after="0" w:line="240" w:lineRule="auto"/>
      <w:ind w:firstLine="0"/>
      <w:contextualSpacing w:val="0"/>
    </w:pPr>
    <w:rPr>
      <w:rFonts w:ascii="Arial" w:eastAsia="Times New Roman" w:hAnsi="Arial"/>
      <w:sz w:val="24"/>
      <w:szCs w:val="20"/>
      <w:lang w:eastAsia="cs-CZ"/>
    </w:rPr>
  </w:style>
  <w:style w:type="paragraph" w:styleId="Nzev">
    <w:name w:val="Title"/>
    <w:basedOn w:val="Normln"/>
    <w:link w:val="NzevChar"/>
    <w:autoRedefine/>
    <w:qFormat/>
    <w:rsid w:val="00BC134C"/>
    <w:pPr>
      <w:spacing w:before="0" w:after="0" w:line="360" w:lineRule="auto"/>
      <w:ind w:firstLine="284"/>
      <w:contextualSpacing w:val="0"/>
    </w:pPr>
    <w:rPr>
      <w:rFonts w:ascii="Arial" w:eastAsia="Times New Roman" w:hAnsi="Arial"/>
      <w:snapToGrid w:val="0"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BC134C"/>
    <w:rPr>
      <w:rFonts w:eastAsia="Times New Roman"/>
      <w:snapToGrid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14EF0-E88B-4A20-B4C1-2FF3E0D51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1274</Words>
  <Characters>7521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Novák</dc:creator>
  <cp:lastModifiedBy>x</cp:lastModifiedBy>
  <cp:revision>7</cp:revision>
  <cp:lastPrinted>2019-04-12T09:06:00Z</cp:lastPrinted>
  <dcterms:created xsi:type="dcterms:W3CDTF">2021-04-26T21:11:00Z</dcterms:created>
  <dcterms:modified xsi:type="dcterms:W3CDTF">2021-05-07T15:15:00Z</dcterms:modified>
</cp:coreProperties>
</file>