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5F06E4B" w:rsidR="00ED3D27" w:rsidRPr="00ED3D27" w:rsidRDefault="00582B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Laboratorní materiál  0</w:t>
            </w:r>
            <w:r w:rsidR="004167A2">
              <w:rPr>
                <w:rFonts w:ascii="Times New Roman" w:hAnsi="Times New Roman"/>
                <w:b/>
                <w:szCs w:val="22"/>
              </w:rPr>
              <w:t>8</w:t>
            </w:r>
            <w:r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9D5C2B4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07749B" w:rsidRPr="0007749B">
              <w:rPr>
                <w:rFonts w:ascii="Times New Roman" w:hAnsi="Times New Roman"/>
                <w:bCs/>
                <w:szCs w:val="22"/>
              </w:rPr>
              <w:t xml:space="preserve">laboratorního materiálu  </w:t>
            </w:r>
            <w:r w:rsidR="00986A27">
              <w:rPr>
                <w:rFonts w:ascii="Times New Roman" w:hAnsi="Times New Roman"/>
                <w:szCs w:val="22"/>
              </w:rPr>
              <w:t xml:space="preserve">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DF2182F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F96AFB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F96AF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F96AF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F96AF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1C3B2" w14:textId="77777777" w:rsidR="008E47FC" w:rsidRDefault="008E47FC" w:rsidP="003C640B">
      <w:r>
        <w:separator/>
      </w:r>
    </w:p>
    <w:p w14:paraId="4D8D5795" w14:textId="77777777" w:rsidR="008E47FC" w:rsidRDefault="008E47FC" w:rsidP="003C640B"/>
  </w:endnote>
  <w:endnote w:type="continuationSeparator" w:id="0">
    <w:p w14:paraId="585F86CC" w14:textId="77777777" w:rsidR="008E47FC" w:rsidRDefault="008E47FC" w:rsidP="003C640B">
      <w:r>
        <w:continuationSeparator/>
      </w:r>
    </w:p>
    <w:p w14:paraId="63C31719" w14:textId="77777777" w:rsidR="008E47FC" w:rsidRDefault="008E47FC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99AC5" w14:textId="77777777" w:rsidR="004167A2" w:rsidRDefault="004167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7FB7C90C" w:rsidR="00DF358A" w:rsidRDefault="004A5669" w:rsidP="00DF358A">
            <w:pPr>
              <w:pStyle w:val="Zpa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7F42DF09">
                  <wp:simplePos x="0" y="0"/>
                  <wp:positionH relativeFrom="column">
                    <wp:posOffset>4124325</wp:posOffset>
                  </wp:positionH>
                  <wp:positionV relativeFrom="paragraph">
                    <wp:posOffset>8890</wp:posOffset>
                  </wp:positionV>
                  <wp:extent cx="1948859" cy="583179"/>
                  <wp:effectExtent l="0" t="0" r="0" b="762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F358A">
              <w:t xml:space="preserve">       </w:t>
            </w:r>
            <w:r w:rsidR="004167A2">
              <w:rPr>
                <w:noProof/>
              </w:rPr>
              <w:drawing>
                <wp:inline distT="0" distB="0" distL="0" distR="0" wp14:anchorId="48A8DA8E" wp14:editId="10D5438B">
                  <wp:extent cx="1076325" cy="542925"/>
                  <wp:effectExtent l="0" t="0" r="9525" b="9525"/>
                  <wp:docPr id="71" name="Obráze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r:link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</w:t>
            </w:r>
            <w:r w:rsidR="00DF358A" w:rsidRPr="00E40BB2">
              <w:rPr>
                <w:noProof/>
              </w:rPr>
              <w:drawing>
                <wp:inline distT="0" distB="0" distL="0" distR="0" wp14:anchorId="39630A07" wp14:editId="278482D7">
                  <wp:extent cx="1285875" cy="542925"/>
                  <wp:effectExtent l="0" t="0" r="9525" b="952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AC9F" w14:textId="77777777" w:rsidR="004167A2" w:rsidRDefault="004167A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82B87" w14:textId="77777777" w:rsidR="008E47FC" w:rsidRDefault="008E47FC" w:rsidP="00FE2E4C">
      <w:pPr>
        <w:spacing w:before="0" w:after="0"/>
      </w:pPr>
      <w:r>
        <w:separator/>
      </w:r>
    </w:p>
  </w:footnote>
  <w:footnote w:type="continuationSeparator" w:id="0">
    <w:p w14:paraId="09AF5B9E" w14:textId="77777777" w:rsidR="008E47FC" w:rsidRDefault="008E47FC" w:rsidP="003C640B">
      <w:r>
        <w:continuationSeparator/>
      </w:r>
    </w:p>
    <w:p w14:paraId="275A805C" w14:textId="77777777" w:rsidR="008E47FC" w:rsidRDefault="008E47FC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0BFF8" w14:textId="77777777" w:rsidR="004167A2" w:rsidRDefault="004167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9854" w14:textId="77777777" w:rsidR="004167A2" w:rsidRDefault="004167A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7749B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167A2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47FC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6AFB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B893.BAE73C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47F36"/>
    <w:rsid w:val="000C1E41"/>
    <w:rsid w:val="0017549B"/>
    <w:rsid w:val="00232F46"/>
    <w:rsid w:val="002F573A"/>
    <w:rsid w:val="00387308"/>
    <w:rsid w:val="00B93C28"/>
    <w:rsid w:val="00BF748F"/>
    <w:rsid w:val="00D561D4"/>
    <w:rsid w:val="00E463E6"/>
    <w:rsid w:val="00E93A89"/>
    <w:rsid w:val="00EB6087"/>
    <w:rsid w:val="00EF799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19</cp:revision>
  <cp:lastPrinted>2023-01-02T11:59:00Z</cp:lastPrinted>
  <dcterms:created xsi:type="dcterms:W3CDTF">2023-01-02T13:35:00Z</dcterms:created>
  <dcterms:modified xsi:type="dcterms:W3CDTF">2023-08-29T10:38:00Z</dcterms:modified>
</cp:coreProperties>
</file>