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5AC2A003"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596EA2">
        <w:rPr>
          <w:rFonts w:ascii="Cambria" w:hAnsi="Cambria" w:cstheme="minorHAnsi"/>
          <w:b/>
          <w:bCs/>
          <w:sz w:val="21"/>
          <w:szCs w:val="21"/>
        </w:rPr>
        <w:t>26</w:t>
      </w:r>
      <w:r w:rsidR="00263DEC">
        <w:rPr>
          <w:rFonts w:ascii="Cambria" w:hAnsi="Cambria" w:cstheme="minorHAnsi"/>
          <w:b/>
          <w:bCs/>
          <w:sz w:val="21"/>
          <w:szCs w:val="21"/>
        </w:rPr>
        <w:t>6792</w:t>
      </w:r>
      <w:r w:rsidR="00C12941" w:rsidRPr="00C12941">
        <w:rPr>
          <w:rFonts w:ascii="Cambria" w:hAnsi="Cambria" w:cstheme="minorHAnsi"/>
          <w:b/>
          <w:bCs/>
          <w:sz w:val="21"/>
          <w:szCs w:val="21"/>
        </w:rPr>
        <w:t>/2025</w:t>
      </w:r>
    </w:p>
    <w:p w14:paraId="568D07A1" w14:textId="20186282" w:rsidR="00EF37E5" w:rsidRPr="008A060B" w:rsidRDefault="00D96DB5" w:rsidP="00596EA2">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r w:rsidR="00596EA2" w:rsidRPr="00596EA2">
        <w:rPr>
          <w:rFonts w:ascii="Cambria" w:eastAsia="Times New Roman" w:hAnsi="Cambria" w:cstheme="minorHAnsi"/>
          <w:b/>
          <w:sz w:val="21"/>
          <w:szCs w:val="21"/>
        </w:rPr>
        <w:t>UKKaM – Dodávky</w:t>
      </w:r>
      <w:r w:rsidR="00EF37E5" w:rsidRPr="00596EA2">
        <w:rPr>
          <w:rFonts w:ascii="Cambria" w:hAnsi="Cambria"/>
          <w:b/>
          <w:sz w:val="21"/>
          <w:szCs w:val="21"/>
        </w:rPr>
        <w:t xml:space="preserve"> </w:t>
      </w:r>
      <w:r w:rsidR="00263DEC">
        <w:rPr>
          <w:rFonts w:ascii="Cambria" w:hAnsi="Cambria"/>
          <w:b/>
          <w:sz w:val="21"/>
          <w:szCs w:val="21"/>
        </w:rPr>
        <w:t>sladkého</w:t>
      </w:r>
      <w:r w:rsidR="00596EA2">
        <w:rPr>
          <w:rFonts w:ascii="Cambria" w:hAnsi="Cambria"/>
          <w:b/>
          <w:sz w:val="21"/>
          <w:szCs w:val="21"/>
        </w:rPr>
        <w:t xml:space="preserve"> pečiva pro přímý prodej pro </w:t>
      </w:r>
      <w:r w:rsidR="0084732B" w:rsidRPr="008A060B">
        <w:rPr>
          <w:rFonts w:ascii="Cambria" w:hAnsi="Cambria"/>
          <w:b/>
          <w:sz w:val="21"/>
          <w:szCs w:val="21"/>
        </w:rPr>
        <w:t>bufety</w:t>
      </w:r>
      <w:r w:rsidR="00596EA2">
        <w:rPr>
          <w:rFonts w:ascii="Cambria" w:hAnsi="Cambria"/>
          <w:b/>
          <w:sz w:val="21"/>
          <w:szCs w:val="21"/>
        </w:rPr>
        <w:t xml:space="preserve"> a menzy</w:t>
      </w:r>
      <w:r w:rsidR="00755D16" w:rsidRPr="008A060B">
        <w:rPr>
          <w:rFonts w:ascii="Cambria" w:hAnsi="Cambria"/>
          <w:b/>
          <w:sz w:val="21"/>
          <w:szCs w:val="21"/>
        </w:rPr>
        <w:t xml:space="preserve"> </w:t>
      </w:r>
      <w:r w:rsidR="002B7D9C" w:rsidRPr="008A060B">
        <w:rPr>
          <w:rFonts w:ascii="Cambria" w:hAnsi="Cambria"/>
          <w:b/>
          <w:sz w:val="21"/>
          <w:szCs w:val="21"/>
        </w:rPr>
        <w:t xml:space="preserve">UK </w:t>
      </w:r>
      <w:r w:rsidR="00EF37E5" w:rsidRPr="008A060B">
        <w:rPr>
          <w:rFonts w:ascii="Cambria" w:hAnsi="Cambria"/>
          <w:b/>
          <w:sz w:val="21"/>
          <w:szCs w:val="21"/>
        </w:rPr>
        <w:t>Praha</w:t>
      </w:r>
      <w:r w:rsidR="00755D16" w:rsidRPr="008A060B">
        <w:rPr>
          <w:rFonts w:ascii="Cambria" w:hAnsi="Cambria"/>
          <w:b/>
          <w:sz w:val="21"/>
          <w:szCs w:val="21"/>
        </w:rPr>
        <w:t xml:space="preserve"> </w:t>
      </w:r>
      <w:r w:rsidR="00596EA2">
        <w:rPr>
          <w:rFonts w:ascii="Cambria" w:hAnsi="Cambria"/>
          <w:b/>
          <w:sz w:val="21"/>
          <w:szCs w:val="21"/>
        </w:rPr>
        <w:t>od květ</w:t>
      </w:r>
      <w:r w:rsidR="00F05969">
        <w:rPr>
          <w:rFonts w:ascii="Cambria" w:hAnsi="Cambria"/>
          <w:b/>
          <w:sz w:val="21"/>
          <w:szCs w:val="21"/>
        </w:rPr>
        <w:t>e</w:t>
      </w:r>
      <w:r w:rsidR="00596EA2">
        <w:rPr>
          <w:rFonts w:ascii="Cambria" w:hAnsi="Cambria"/>
          <w:b/>
          <w:sz w:val="21"/>
          <w:szCs w:val="21"/>
        </w:rPr>
        <w:t>n 2025</w:t>
      </w:r>
      <w:r w:rsidR="00EF37E5" w:rsidRPr="008A060B">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sidR="00596EA2">
            <w:rPr>
              <w:rFonts w:ascii="Cambria" w:hAnsi="Cambria"/>
              <w:b/>
              <w:sz w:val="21"/>
              <w:szCs w:val="21"/>
            </w:rPr>
            <w:t>31.01.2026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José Martího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Bohumil Hradecký, DiS.</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10F0D7FE"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596EA2">
            <w:rPr>
              <w:rFonts w:ascii="Cambria" w:hAnsi="Cambria" w:cstheme="minorHAnsi"/>
              <w:b/>
              <w:bCs/>
              <w:sz w:val="21"/>
              <w:szCs w:val="21"/>
            </w:rPr>
            <w:t>31.01.2026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12941" w:rsidRPr="00C12941" w14:paraId="1EE96437" w14:textId="77777777" w:rsidTr="00C12941">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003F2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0F834DE7"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3B505A21"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149E7B3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Čas závozu</w:t>
            </w:r>
          </w:p>
        </w:tc>
      </w:tr>
      <w:tr w:rsidR="00C12941" w:rsidRPr="00C12941" w14:paraId="5F1DB66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B66227"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41E059A5"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56DBE2EF"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C9DDC6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094DC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EC97B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C843333"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6ACF376"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shd w:val="clear" w:color="auto" w:fill="auto"/>
            <w:noWrap/>
            <w:vAlign w:val="center"/>
            <w:hideMark/>
          </w:tcPr>
          <w:p w14:paraId="2404B7B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272FA5"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FAE5F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B55714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77E67E63"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608B898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84CD7CC"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5BAA9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DACB1BC"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552B4054"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774FB7D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688EF51"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FF908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5558D96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C98DAAC"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F09D04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C9AD530"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E51CBF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30BB9C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3E1B27E"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48991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E9D84F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F1469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152DD28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19F1ECB2"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1121AD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6691C8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02311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5B2174BA"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shd w:val="clear" w:color="auto" w:fill="auto"/>
            <w:noWrap/>
            <w:vAlign w:val="bottom"/>
            <w:hideMark/>
          </w:tcPr>
          <w:p w14:paraId="2D87E0B5"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C4512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F9A76A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9775F9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39A54A8"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62AE8B18"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D1AFE4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A17B9AB"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3C61A91"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1F5EDF1"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42B5F20B"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91372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7824AF9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3ACB6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99B33E4"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222B879"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90BE38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D5E67CE"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72511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669D893D"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4A6D79B"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4FAA251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3A1EE43"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9C1325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43B5DC2C"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32CC5B47"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64D67DB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78A"/>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63DEC"/>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42400"/>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96EA2"/>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6FBC"/>
    <w:rsid w:val="00A57FB7"/>
    <w:rsid w:val="00A6064A"/>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05969"/>
    <w:rsid w:val="00F10B2D"/>
    <w:rsid w:val="00F16CA8"/>
    <w:rsid w:val="00F204DF"/>
    <w:rsid w:val="00F2289B"/>
    <w:rsid w:val="00F27D1E"/>
    <w:rsid w:val="00F31356"/>
    <w:rsid w:val="00F32A70"/>
    <w:rsid w:val="00F42461"/>
    <w:rsid w:val="00F424FB"/>
    <w:rsid w:val="00F42E23"/>
    <w:rsid w:val="00F52FFD"/>
    <w:rsid w:val="00F61D47"/>
    <w:rsid w:val="00F73CB7"/>
    <w:rsid w:val="00F75EDE"/>
    <w:rsid w:val="00F8246E"/>
    <w:rsid w:val="00F8324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7578A"/>
    <w:rsid w:val="00342400"/>
    <w:rsid w:val="00356EA5"/>
    <w:rsid w:val="007443F2"/>
    <w:rsid w:val="009E43A7"/>
    <w:rsid w:val="00A71D28"/>
    <w:rsid w:val="00E1658D"/>
    <w:rsid w:val="00F42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3613</Words>
  <Characters>21319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2025-04-30T07:57:00Z</dcterms:created>
  <dcterms:modified xsi:type="dcterms:W3CDTF">2025-04-30T10:48:00Z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